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 w:hAnsi="仿宋" w:eastAsia="仿宋" w:cs="仿宋"/>
          <w:sz w:val="32"/>
          <w:szCs w:val="32"/>
          <w:lang w:eastAsia="zh-CN"/>
        </w:rPr>
      </w:pPr>
      <w:bookmarkStart w:id="0" w:name="_GoBack"/>
      <w:bookmarkEnd w:id="0"/>
    </w:p>
    <w:p>
      <w:pPr>
        <w:pStyle w:val="2"/>
        <w:rPr>
          <w:rFonts w:hint="eastAsia"/>
          <w:lang w:eastAsia="zh-CN"/>
        </w:rPr>
      </w:pPr>
    </w:p>
    <w:p>
      <w:pPr>
        <w:keepNext w:val="0"/>
        <w:keepLines w:val="0"/>
        <w:widowControl/>
        <w:suppressLineNumbers w:val="0"/>
        <w:jc w:val="left"/>
        <w:textAlignment w:val="center"/>
        <w:rPr>
          <w:rFonts w:hint="eastAsia" w:ascii="黑体" w:hAnsi="宋体" w:eastAsia="黑体" w:cs="黑体"/>
          <w:i w:val="0"/>
          <w:color w:val="000000"/>
          <w:kern w:val="0"/>
          <w:sz w:val="32"/>
          <w:szCs w:val="32"/>
          <w:u w:val="none"/>
          <w:lang w:val="en-US" w:eastAsia="zh-CN" w:bidi="ar"/>
        </w:rPr>
      </w:pPr>
      <w:r>
        <w:rPr>
          <w:rFonts w:hint="eastAsia" w:ascii="黑体" w:hAnsi="宋体" w:eastAsia="黑体" w:cs="黑体"/>
          <w:i w:val="0"/>
          <w:color w:val="000000"/>
          <w:kern w:val="0"/>
          <w:sz w:val="32"/>
          <w:szCs w:val="32"/>
          <w:u w:val="none"/>
          <w:lang w:val="en-US" w:eastAsia="zh-CN" w:bidi="ar"/>
        </w:rPr>
        <w:t>附件1：</w:t>
      </w:r>
    </w:p>
    <w:p>
      <w:pPr>
        <w:jc w:val="center"/>
      </w:pPr>
      <w:r>
        <w:rPr>
          <w:rFonts w:hint="eastAsia" w:ascii="方正小标宋简体" w:hAnsi="方正小标宋简体" w:eastAsia="方正小标宋简体" w:cs="方正小标宋简体"/>
          <w:i w:val="0"/>
          <w:color w:val="000000"/>
          <w:kern w:val="0"/>
          <w:sz w:val="44"/>
          <w:szCs w:val="44"/>
          <w:u w:val="none"/>
          <w:lang w:val="en-US" w:eastAsia="zh-CN" w:bidi="ar"/>
        </w:rPr>
        <w:t>西湖区南浦街道</w:t>
      </w:r>
      <w:r>
        <w:rPr>
          <w:rFonts w:hint="eastAsia" w:ascii="方正小标宋简体" w:hAnsi="方正小标宋简体" w:eastAsia="方正小标宋简体" w:cs="方正小标宋简体"/>
          <w:sz w:val="44"/>
          <w:szCs w:val="44"/>
        </w:rPr>
        <w:t>市域社会治理现代化工作指标任务分解</w:t>
      </w:r>
      <w:r>
        <w:rPr>
          <w:rFonts w:hint="eastAsia" w:ascii="方正小标宋简体" w:hAnsi="方正小标宋简体" w:eastAsia="方正小标宋简体" w:cs="方正小标宋简体"/>
          <w:sz w:val="44"/>
          <w:szCs w:val="44"/>
          <w:lang w:val="en-US" w:eastAsia="zh-CN"/>
        </w:rPr>
        <w:t>表</w:t>
      </w:r>
    </w:p>
    <w:tbl>
      <w:tblPr>
        <w:tblStyle w:val="4"/>
        <w:tblpPr w:leftFromText="180" w:rightFromText="180" w:vertAnchor="text" w:horzAnchor="page" w:tblpX="1296" w:tblpY="465"/>
        <w:tblOverlap w:val="never"/>
        <w:tblW w:w="14358" w:type="dxa"/>
        <w:tblInd w:w="0" w:type="dxa"/>
        <w:tblLayout w:type="autofit"/>
        <w:tblCellMar>
          <w:top w:w="0" w:type="dxa"/>
          <w:left w:w="0" w:type="dxa"/>
          <w:bottom w:w="0" w:type="dxa"/>
          <w:right w:w="0" w:type="dxa"/>
        </w:tblCellMar>
      </w:tblPr>
      <w:tblGrid>
        <w:gridCol w:w="399"/>
        <w:gridCol w:w="829"/>
        <w:gridCol w:w="1925"/>
        <w:gridCol w:w="9871"/>
        <w:gridCol w:w="1334"/>
      </w:tblGrid>
      <w:tr>
        <w:tblPrEx>
          <w:tblCellMar>
            <w:top w:w="0" w:type="dxa"/>
            <w:left w:w="0" w:type="dxa"/>
            <w:bottom w:w="0" w:type="dxa"/>
            <w:right w:w="0" w:type="dxa"/>
          </w:tblCellMar>
        </w:tblPrEx>
        <w:trPr>
          <w:trHeight w:val="651" w:hRule="atLeast"/>
        </w:trPr>
        <w:tc>
          <w:tcPr>
            <w:tcW w:w="39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项目</w:t>
            </w:r>
          </w:p>
        </w:tc>
        <w:tc>
          <w:tcPr>
            <w:tcW w:w="82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重点任务</w:t>
            </w:r>
          </w:p>
        </w:tc>
        <w:tc>
          <w:tcPr>
            <w:tcW w:w="192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工作内容</w:t>
            </w:r>
          </w:p>
        </w:tc>
        <w:tc>
          <w:tcPr>
            <w:tcW w:w="987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2"/>
                <w:szCs w:val="22"/>
                <w:u w:val="none"/>
              </w:rPr>
            </w:pPr>
            <w:r>
              <w:rPr>
                <w:rFonts w:hint="eastAsia" w:ascii="黑体" w:hAnsi="宋体" w:eastAsia="黑体" w:cs="黑体"/>
                <w:i w:val="0"/>
                <w:color w:val="000000"/>
                <w:kern w:val="0"/>
                <w:sz w:val="22"/>
                <w:szCs w:val="22"/>
                <w:u w:val="none"/>
                <w:lang w:val="en-US" w:eastAsia="zh-CN" w:bidi="ar"/>
              </w:rPr>
              <w:t>基本要求</w:t>
            </w:r>
          </w:p>
        </w:tc>
        <w:tc>
          <w:tcPr>
            <w:tcW w:w="13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kern w:val="0"/>
                <w:sz w:val="22"/>
                <w:szCs w:val="22"/>
                <w:u w:val="none"/>
                <w:lang w:val="en-US" w:eastAsia="zh-CN" w:bidi="ar"/>
              </w:rPr>
            </w:pPr>
            <w:r>
              <w:rPr>
                <w:rFonts w:hint="eastAsia" w:ascii="黑体" w:hAnsi="宋体" w:eastAsia="黑体" w:cs="黑体"/>
                <w:i w:val="0"/>
                <w:color w:val="000000"/>
                <w:kern w:val="0"/>
                <w:sz w:val="22"/>
                <w:szCs w:val="22"/>
                <w:u w:val="none"/>
                <w:lang w:val="en-US" w:eastAsia="zh-CN" w:bidi="ar"/>
              </w:rPr>
              <w:t>责任科室</w:t>
            </w:r>
          </w:p>
        </w:tc>
      </w:tr>
      <w:tr>
        <w:tblPrEx>
          <w:tblCellMar>
            <w:top w:w="0" w:type="dxa"/>
            <w:left w:w="0" w:type="dxa"/>
            <w:bottom w:w="0" w:type="dxa"/>
            <w:right w:w="0" w:type="dxa"/>
          </w:tblCellMar>
        </w:tblPrEx>
        <w:trPr>
          <w:trHeight w:val="90" w:hRule="atLeast"/>
        </w:trPr>
        <w:tc>
          <w:tcPr>
            <w:tcW w:w="399" w:type="dxa"/>
            <w:vMerge w:val="restart"/>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市</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域</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社</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会</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治</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理</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体</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制</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现</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代</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化</w:t>
            </w:r>
          </w:p>
        </w:tc>
        <w:tc>
          <w:tcPr>
            <w:tcW w:w="829" w:type="dxa"/>
            <w:vMerge w:val="restart"/>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完善党委领导体制</w:t>
            </w:r>
          </w:p>
        </w:tc>
        <w:tc>
          <w:tcPr>
            <w:tcW w:w="1925"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1.坚持党委总揽全局、协调各方的领导核心作用</w:t>
            </w:r>
          </w:p>
        </w:tc>
        <w:tc>
          <w:tcPr>
            <w:tcW w:w="9871"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党工委切实加强对推进社会治理现代化、深化平安建设工作的领导，将其列入重要日程,认真研究解决工作中的重大问题。推动社会治理融入经济社会发展全过程,社会风险防控贯穿规划、决策、执行、监管各领域各环节,推动各方面在社会治理工作中协调行动、增强合力。</w:t>
            </w:r>
          </w:p>
        </w:tc>
        <w:tc>
          <w:tcPr>
            <w:tcW w:w="1334"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社会治理办</w:t>
            </w:r>
          </w:p>
        </w:tc>
      </w:tr>
      <w:tr>
        <w:tblPrEx>
          <w:tblCellMar>
            <w:top w:w="0" w:type="dxa"/>
            <w:left w:w="0" w:type="dxa"/>
            <w:bottom w:w="0" w:type="dxa"/>
            <w:right w:w="0" w:type="dxa"/>
          </w:tblCellMar>
        </w:tblPrEx>
        <w:trPr>
          <w:trHeight w:val="1173" w:hRule="atLeast"/>
        </w:trPr>
        <w:tc>
          <w:tcPr>
            <w:tcW w:w="39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2.创新完善平安建设工作协调机制，充分发挥党委政法委职能作用</w:t>
            </w:r>
          </w:p>
        </w:tc>
        <w:tc>
          <w:tcPr>
            <w:tcW w:w="98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(1)街道、社区两级全面建成平安建设协调机制。</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(2)深入学习贯彻《中国共产党政法工作条例》。加强对社会治理领域调查研究,全面建立社会治安稳定形势研判分析制度。加强对同级综治中心的工作统筹、政策指导。</w:t>
            </w:r>
          </w:p>
        </w:tc>
        <w:tc>
          <w:tcPr>
            <w:tcW w:w="1334"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党政办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平安办</w:t>
            </w:r>
          </w:p>
        </w:tc>
      </w:tr>
      <w:tr>
        <w:tblPrEx>
          <w:tblCellMar>
            <w:top w:w="0" w:type="dxa"/>
            <w:left w:w="0" w:type="dxa"/>
            <w:bottom w:w="0" w:type="dxa"/>
            <w:right w:w="0" w:type="dxa"/>
          </w:tblCellMar>
        </w:tblPrEx>
        <w:trPr>
          <w:trHeight w:val="1720" w:hRule="atLeast"/>
        </w:trPr>
        <w:tc>
          <w:tcPr>
            <w:tcW w:w="39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3.落实好平安建设领导责任制</w:t>
            </w:r>
          </w:p>
        </w:tc>
        <w:tc>
          <w:tcPr>
            <w:tcW w:w="9871"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(1)确定党（工）委、政府（办事处）主要领导、分管领导、班子成员推进社会治理现代化、深化平安建设的第一责任、直接责任和分管工作范围内的责任。科学界定和合理分配各层级、各部门风险管控责任。</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健全平安建设(综治工作)考评评价体系,强化考评结果运用,把社会治安综合治理工作实绩作为对领导班子和领导干部综合考核评价的重要内容,与业绩评定、职务晋升、奖励惩处等挂钩。建立平安建设表扬奖励政策。落实通报、约谈、挂牌督办、一票否决等制度。</w:t>
            </w:r>
          </w:p>
        </w:tc>
        <w:tc>
          <w:tcPr>
            <w:tcW w:w="13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党政办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平安办</w:t>
            </w:r>
          </w:p>
        </w:tc>
      </w:tr>
      <w:tr>
        <w:tblPrEx>
          <w:tblCellMar>
            <w:top w:w="0" w:type="dxa"/>
            <w:left w:w="0" w:type="dxa"/>
            <w:bottom w:w="0" w:type="dxa"/>
            <w:right w:w="0" w:type="dxa"/>
          </w:tblCellMar>
        </w:tblPrEx>
        <w:trPr>
          <w:trHeight w:val="2879" w:hRule="atLeast"/>
        </w:trPr>
        <w:tc>
          <w:tcPr>
            <w:tcW w:w="39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市</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域</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社</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会</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治</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理</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体</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制</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现</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代</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化</w:t>
            </w:r>
          </w:p>
        </w:tc>
        <w:tc>
          <w:tcPr>
            <w:tcW w:w="8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完善党委领导体制</w:t>
            </w: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4.加强街道社区党组织建设，增强统筹协调和服务功能。构建基层党建工作新格局，发挥社区（村）党组织在基层社会治理中的领导作用</w:t>
            </w:r>
          </w:p>
        </w:tc>
        <w:tc>
          <w:tcPr>
            <w:tcW w:w="98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(1)推动街道（镇）党(工)委聚焦主责主业,集中精力抓党建、抓治理、抓服务。</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统筹上级部门支持社区（村）的政策,整合资金、资源、项目等,以社区（村）党组织为主要渠道落实到位。确保社区（村）党组织有资源有能力为群众服务。对社区（村）内有关重要事项决定、资金使用等,发挥社区（村）党组织的主导作用。推进社区（村）减负增效。</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(3)调整优化网格设置,整合党建、综治、城管等各类网格,将党支部或党小组建在网格上。推行社区（村）党员分类管理,定期排查流动党员，实行组织关系一方隶属、参加多重组织生活,注重发挥离退休党员作用</w:t>
            </w:r>
          </w:p>
        </w:tc>
        <w:tc>
          <w:tcPr>
            <w:tcW w:w="133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党建办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公共服务办</w:t>
            </w:r>
          </w:p>
          <w:p>
            <w:pPr>
              <w:keepNext w:val="0"/>
              <w:keepLines w:val="0"/>
              <w:widowControl/>
              <w:suppressLineNumbers w:val="0"/>
              <w:jc w:val="center"/>
              <w:textAlignment w:val="center"/>
              <w:rPr>
                <w:rFonts w:hint="eastAsia"/>
                <w:lang w:val="en-US" w:eastAsia="zh-CN"/>
              </w:rPr>
            </w:pPr>
            <w:r>
              <w:rPr>
                <w:rFonts w:hint="eastAsia" w:ascii="仿宋" w:hAnsi="仿宋" w:eastAsia="仿宋" w:cs="仿宋"/>
                <w:i w:val="0"/>
                <w:color w:val="000000"/>
                <w:kern w:val="0"/>
                <w:sz w:val="22"/>
                <w:szCs w:val="22"/>
                <w:u w:val="none"/>
                <w:lang w:val="en-US" w:eastAsia="zh-CN" w:bidi="ar"/>
              </w:rPr>
              <w:t>社会治理办行政执法办</w:t>
            </w:r>
          </w:p>
        </w:tc>
      </w:tr>
      <w:tr>
        <w:tblPrEx>
          <w:tblCellMar>
            <w:top w:w="0" w:type="dxa"/>
            <w:left w:w="0" w:type="dxa"/>
            <w:bottom w:w="0" w:type="dxa"/>
            <w:right w:w="0" w:type="dxa"/>
          </w:tblCellMar>
        </w:tblPrEx>
        <w:trPr>
          <w:trHeight w:val="974" w:hRule="atLeast"/>
        </w:trPr>
        <w:tc>
          <w:tcPr>
            <w:tcW w:w="39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完善政府负责体制</w:t>
            </w: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5.发挥政府主导作用，强化政府社会治理职能</w:t>
            </w:r>
          </w:p>
        </w:tc>
        <w:tc>
          <w:tcPr>
            <w:tcW w:w="98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(1)将社会治理和平安建设纳入经济社会发展规划。制定社会治理规划,明确可量化、可评价的阶段性目标。每年推进落实一批市域社会治理重点项目。公共财政有效保障社会治理和平安建设工作顺利开展。</w:t>
            </w:r>
          </w:p>
        </w:tc>
        <w:tc>
          <w:tcPr>
            <w:tcW w:w="133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lang w:val="en-US" w:eastAsia="zh-CN"/>
              </w:rPr>
            </w:pPr>
            <w:r>
              <w:rPr>
                <w:rFonts w:hint="eastAsia" w:ascii="仿宋" w:hAnsi="仿宋" w:eastAsia="仿宋" w:cs="仿宋"/>
                <w:i w:val="0"/>
                <w:color w:val="000000"/>
                <w:kern w:val="0"/>
                <w:sz w:val="22"/>
                <w:szCs w:val="22"/>
                <w:u w:val="none"/>
                <w:lang w:val="en-US" w:eastAsia="zh-CN" w:bidi="ar"/>
              </w:rPr>
              <w:t>党政办</w:t>
            </w:r>
          </w:p>
        </w:tc>
      </w:tr>
      <w:tr>
        <w:tblPrEx>
          <w:tblCellMar>
            <w:top w:w="0" w:type="dxa"/>
            <w:left w:w="0" w:type="dxa"/>
            <w:bottom w:w="0" w:type="dxa"/>
            <w:right w:w="0" w:type="dxa"/>
          </w:tblCellMar>
        </w:tblPrEx>
        <w:trPr>
          <w:trHeight w:val="2674" w:hRule="atLeast"/>
        </w:trPr>
        <w:tc>
          <w:tcPr>
            <w:tcW w:w="39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6.提高公共服务能力和水平</w:t>
            </w:r>
          </w:p>
        </w:tc>
        <w:tc>
          <w:tcPr>
            <w:tcW w:w="9871"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深入推进“放管服”改革,推进“互联网+政务服务”建设,建立和完善适应基层实际的办事指南和工作规程,实行“马上办、网上办、就近办、一次办”,推进有关公共服务事项凭身份证或社会保障卡“一证通办”。90%以上的社区可直接办理或代办政务服务事项。推进社区综合服务设施建设,实现社区综合服务设施全覆益。健全广大群众对公共服务的评价机制。</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(2)开通政务服务APP、服务热线、微信公众号等渠道,构建微端融合、服务联动的政务服务体系,广泛收集民情民意,更为精准及时地提供公共服务。</w:t>
            </w:r>
          </w:p>
        </w:tc>
        <w:tc>
          <w:tcPr>
            <w:tcW w:w="13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公共服务办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便民服务中心</w:t>
            </w:r>
          </w:p>
        </w:tc>
      </w:tr>
      <w:tr>
        <w:tblPrEx>
          <w:tblCellMar>
            <w:top w:w="0" w:type="dxa"/>
            <w:left w:w="0" w:type="dxa"/>
            <w:bottom w:w="0" w:type="dxa"/>
            <w:right w:w="0" w:type="dxa"/>
          </w:tblCellMar>
        </w:tblPrEx>
        <w:trPr>
          <w:trHeight w:val="1370" w:hRule="atLeast"/>
        </w:trPr>
        <w:tc>
          <w:tcPr>
            <w:tcW w:w="39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市</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域</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社</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会</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治</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理</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体</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制</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现</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代</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化</w:t>
            </w:r>
          </w:p>
        </w:tc>
        <w:tc>
          <w:tcPr>
            <w:tcW w:w="82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完善民主协商体制</w:t>
            </w:r>
          </w:p>
        </w:tc>
        <w:tc>
          <w:tcPr>
            <w:tcW w:w="192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7.加强协商民主制度建设，推动协商民主广泛、多层、制度化发展</w:t>
            </w:r>
          </w:p>
        </w:tc>
        <w:tc>
          <w:tcPr>
            <w:tcW w:w="9871"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统筹推进各类协商渠道发挥作用,完善协商于决策之前和决策实施之中的落实机制,就改革发展稳定重大问题特别是事关人民群众切身利益的问题进行广泛协商。健全工作机制,充分发挥人大代表、政协委员等在社会治理中的作用。</w:t>
            </w:r>
          </w:p>
        </w:tc>
        <w:tc>
          <w:tcPr>
            <w:tcW w:w="1334"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党政办</w:t>
            </w:r>
          </w:p>
        </w:tc>
      </w:tr>
      <w:tr>
        <w:tblPrEx>
          <w:tblCellMar>
            <w:top w:w="0" w:type="dxa"/>
            <w:left w:w="0" w:type="dxa"/>
            <w:bottom w:w="0" w:type="dxa"/>
            <w:right w:w="0" w:type="dxa"/>
          </w:tblCellMar>
        </w:tblPrEx>
        <w:trPr>
          <w:trHeight w:val="998" w:hRule="atLeast"/>
        </w:trPr>
        <w:tc>
          <w:tcPr>
            <w:tcW w:w="39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25" w:type="dxa"/>
            <w:vMerge w:val="continue"/>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jc w:val="left"/>
              <w:rPr>
                <w:rFonts w:hint="eastAsia" w:ascii="仿宋" w:hAnsi="仿宋" w:eastAsia="仿宋" w:cs="仿宋"/>
                <w:i w:val="0"/>
                <w:color w:val="000000"/>
                <w:sz w:val="22"/>
                <w:szCs w:val="22"/>
                <w:u w:val="none"/>
              </w:rPr>
            </w:pPr>
          </w:p>
        </w:tc>
        <w:tc>
          <w:tcPr>
            <w:tcW w:w="987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(2)制定街道协商事项清单,全面落实街道协商。加强社区协商,充分发挥社区党组织在基层协商中的领导核心作用,完善社区民主选举、民主协商、民主决策、民主管理、民主监督制度。</w:t>
            </w:r>
          </w:p>
        </w:tc>
        <w:tc>
          <w:tcPr>
            <w:tcW w:w="1334"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党政办</w:t>
            </w:r>
          </w:p>
          <w:p>
            <w:pPr>
              <w:keepNext w:val="0"/>
              <w:keepLines w:val="0"/>
              <w:widowControl/>
              <w:suppressLineNumbers w:val="0"/>
              <w:jc w:val="center"/>
              <w:textAlignment w:val="center"/>
              <w:rPr>
                <w:rFonts w:hint="eastAsia"/>
                <w:lang w:val="en-US" w:eastAsia="zh-CN"/>
              </w:rPr>
            </w:pPr>
            <w:r>
              <w:rPr>
                <w:rFonts w:hint="eastAsia" w:ascii="仿宋" w:hAnsi="仿宋" w:eastAsia="仿宋" w:cs="仿宋"/>
                <w:i w:val="0"/>
                <w:color w:val="000000"/>
                <w:kern w:val="0"/>
                <w:sz w:val="22"/>
                <w:szCs w:val="22"/>
                <w:u w:val="none"/>
                <w:lang w:val="en-US" w:eastAsia="zh-CN" w:bidi="ar"/>
              </w:rPr>
              <w:t>公共服务办</w:t>
            </w:r>
          </w:p>
        </w:tc>
      </w:tr>
      <w:tr>
        <w:tblPrEx>
          <w:tblCellMar>
            <w:top w:w="0" w:type="dxa"/>
            <w:left w:w="0" w:type="dxa"/>
            <w:bottom w:w="0" w:type="dxa"/>
            <w:right w:w="0" w:type="dxa"/>
          </w:tblCellMar>
        </w:tblPrEx>
        <w:trPr>
          <w:trHeight w:val="2559" w:hRule="atLeast"/>
        </w:trPr>
        <w:tc>
          <w:tcPr>
            <w:tcW w:w="39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完善社会力量协同体制</w:t>
            </w: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9.充分发挥社会组织作用，引导激励社会组织参与社会治理</w:t>
            </w:r>
          </w:p>
        </w:tc>
        <w:tc>
          <w:tcPr>
            <w:tcW w:w="9871"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(1)加强社会组织党的建设,增强党对社会组织工作的领导。加强社会组织综合监管,建立健全检查、评估、社会监督机制,引导社会组织加强自身和诚信自律。</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创新社会组织孵化培育、人才培养，资金支持机制，街道、社区两级社会组织孵化培育和活动场所覆盖率不低于50%。完善政府购买服务指导性目录,确定社会组织购买服务的重点领域或重点项目。政府新增公共服务支出通过政府购买服务安排的部分,向社会组织购买的比例原则上不低于30%,支持社会组织参与社会治理,开展公共服务。大力培育发展社区社会组织,实现城市社区平均拥有不少于10个社区社会组织,在街道成立社区社会组织联合会,社区社会组织服务中心等枢纽型社会组织。</w:t>
            </w:r>
          </w:p>
        </w:tc>
        <w:tc>
          <w:tcPr>
            <w:tcW w:w="13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党政办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党建办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公共服务办</w:t>
            </w:r>
          </w:p>
        </w:tc>
      </w:tr>
      <w:tr>
        <w:tblPrEx>
          <w:tblCellMar>
            <w:top w:w="0" w:type="dxa"/>
            <w:left w:w="0" w:type="dxa"/>
            <w:bottom w:w="0" w:type="dxa"/>
            <w:right w:w="0" w:type="dxa"/>
          </w:tblCellMar>
        </w:tblPrEx>
        <w:trPr>
          <w:trHeight w:val="1996" w:hRule="atLeast"/>
        </w:trPr>
        <w:tc>
          <w:tcPr>
            <w:tcW w:w="39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市</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域</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社</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会</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治</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理</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体</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制</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现</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代</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化</w:t>
            </w:r>
          </w:p>
        </w:tc>
        <w:tc>
          <w:tcPr>
            <w:tcW w:w="8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kern w:val="0"/>
                <w:sz w:val="22"/>
                <w:szCs w:val="22"/>
                <w:u w:val="none"/>
                <w:lang w:val="en-US" w:eastAsia="zh-CN" w:bidi="ar"/>
              </w:rPr>
              <w:t>完善公众参与体制</w:t>
            </w: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kern w:val="0"/>
                <w:sz w:val="22"/>
                <w:szCs w:val="22"/>
                <w:u w:val="none"/>
                <w:lang w:val="en-US" w:eastAsia="zh-CN" w:bidi="ar"/>
              </w:rPr>
              <w:t>11.贯彻好党的群众路线，创新组织群众、发动群众的机制</w:t>
            </w:r>
          </w:p>
        </w:tc>
        <w:tc>
          <w:tcPr>
            <w:tcW w:w="98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(1)加强社会工作人才队伍建设,支持和发展社会工作服务机构,社会工作专业人才不低于全区户籍人口的千分之一。探索社会工作者分级分类管理办法,推进网格员、人民调解员等队伍与社会工作人才队伍融合发展。</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(2)健全志愿服务激励保障机制,汇集至全国志愿服务信息系统的注册志愿者占常住人口比例≥13%。每个街道设有志愿服务站,有至少1个平安建设志愿服务团队。</w:t>
            </w:r>
          </w:p>
          <w:p>
            <w:pPr>
              <w:keepNext w:val="0"/>
              <w:keepLines w:val="0"/>
              <w:widowControl/>
              <w:suppressLineNumbers w:val="0"/>
              <w:jc w:val="left"/>
              <w:textAlignment w:val="center"/>
              <w:rPr>
                <w:rFonts w:hint="eastAsia" w:ascii="仿宋" w:hAnsi="仿宋" w:eastAsia="仿宋" w:cs="仿宋"/>
                <w:i w:val="0"/>
                <w:color w:val="000000"/>
                <w:kern w:val="2"/>
                <w:sz w:val="22"/>
                <w:szCs w:val="22"/>
                <w:u w:val="none"/>
                <w:lang w:val="en-US" w:eastAsia="zh-CN" w:bidi="ar-SA"/>
              </w:rPr>
            </w:pPr>
            <w:r>
              <w:rPr>
                <w:rFonts w:hint="eastAsia" w:ascii="仿宋" w:hAnsi="仿宋" w:eastAsia="仿宋" w:cs="仿宋"/>
                <w:i w:val="0"/>
                <w:color w:val="000000"/>
                <w:kern w:val="0"/>
                <w:sz w:val="22"/>
                <w:szCs w:val="22"/>
                <w:u w:val="none"/>
                <w:lang w:val="en-US" w:eastAsia="zh-CN" w:bidi="ar"/>
              </w:rPr>
              <w:t>(3)完善举报奖励、公益反哺、以奖代补等激励措施,广泛动员群众参与社会治理。创新互联网时代群众工作机制,搭建平行、互动、多样的群众参与平台。</w:t>
            </w:r>
          </w:p>
        </w:tc>
        <w:tc>
          <w:tcPr>
            <w:tcW w:w="1334"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党政办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党建办</w:t>
            </w:r>
          </w:p>
          <w:p>
            <w:pPr>
              <w:keepNext w:val="0"/>
              <w:keepLines w:val="0"/>
              <w:widowControl/>
              <w:suppressLineNumbers w:val="0"/>
              <w:jc w:val="center"/>
              <w:textAlignment w:val="center"/>
              <w:rPr>
                <w:rFonts w:hint="eastAsia" w:ascii="仿宋" w:hAnsi="仿宋" w:eastAsia="仿宋" w:cs="仿宋"/>
                <w:b/>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公共服务办</w:t>
            </w:r>
          </w:p>
        </w:tc>
      </w:tr>
      <w:tr>
        <w:tblPrEx>
          <w:tblCellMar>
            <w:top w:w="0" w:type="dxa"/>
            <w:left w:w="0" w:type="dxa"/>
            <w:bottom w:w="0" w:type="dxa"/>
            <w:right w:w="0" w:type="dxa"/>
          </w:tblCellMar>
        </w:tblPrEx>
        <w:trPr>
          <w:trHeight w:val="1433" w:hRule="atLeast"/>
        </w:trPr>
        <w:tc>
          <w:tcPr>
            <w:tcW w:w="39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完善高效联动、上下贯通的指挥体制</w:t>
            </w: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12.全面推进综治中心规范化建设，发挥市域社会治理实战化平台作用</w:t>
            </w:r>
          </w:p>
        </w:tc>
        <w:tc>
          <w:tcPr>
            <w:tcW w:w="98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（1)细化综治中心建设规范,实现区、街道两级综治中心规范化建设全覆盖,配备相应工作人员,实现与相关部门资源整合、信息共享、协调一致。社区综合服务管理平台的社会治理相应功能完备。</w:t>
            </w:r>
          </w:p>
        </w:tc>
        <w:tc>
          <w:tcPr>
            <w:tcW w:w="1334"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社会治理办</w:t>
            </w:r>
          </w:p>
          <w:p>
            <w:pPr>
              <w:keepNext w:val="0"/>
              <w:keepLines w:val="0"/>
              <w:widowControl/>
              <w:suppressLineNumbers w:val="0"/>
              <w:jc w:val="center"/>
              <w:textAlignment w:val="center"/>
              <w:rPr>
                <w:rFonts w:hint="eastAsia"/>
                <w:lang w:val="en-US" w:eastAsia="zh-CN"/>
              </w:rPr>
            </w:pPr>
            <w:r>
              <w:rPr>
                <w:rFonts w:hint="eastAsia" w:ascii="仿宋" w:hAnsi="仿宋" w:eastAsia="仿宋" w:cs="仿宋"/>
                <w:i w:val="0"/>
                <w:color w:val="000000"/>
                <w:kern w:val="0"/>
                <w:sz w:val="22"/>
                <w:szCs w:val="22"/>
                <w:u w:val="none"/>
                <w:lang w:val="en-US" w:eastAsia="zh-CN" w:bidi="ar"/>
              </w:rPr>
              <w:t>综治中心</w:t>
            </w:r>
          </w:p>
        </w:tc>
      </w:tr>
      <w:tr>
        <w:tblPrEx>
          <w:tblCellMar>
            <w:top w:w="0" w:type="dxa"/>
            <w:left w:w="0" w:type="dxa"/>
            <w:bottom w:w="0" w:type="dxa"/>
            <w:right w:w="0" w:type="dxa"/>
          </w:tblCellMar>
        </w:tblPrEx>
        <w:trPr>
          <w:trHeight w:val="2093" w:hRule="atLeast"/>
        </w:trPr>
        <w:tc>
          <w:tcPr>
            <w:tcW w:w="39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13.构建区域联动、部门协作机制</w:t>
            </w:r>
          </w:p>
        </w:tc>
        <w:tc>
          <w:tcPr>
            <w:tcW w:w="9871"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(1)依托平安建设协调机制,健全跨区域矛盾风险联动处置机制和工作预案。建立健全区主管部门牵头、相关部门紧密协作的跨领域矛盾风险综合治理机制。</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(2)组织开展“平安社区”“平安校区”“平安医院”“平安市场”等区域、行业、系统平安创建活动</w:t>
            </w:r>
          </w:p>
        </w:tc>
        <w:tc>
          <w:tcPr>
            <w:tcW w:w="13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派出所</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党政办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党建办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公共服务办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社会治理办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行政执法办</w:t>
            </w:r>
          </w:p>
        </w:tc>
      </w:tr>
      <w:tr>
        <w:tblPrEx>
          <w:tblCellMar>
            <w:top w:w="0" w:type="dxa"/>
            <w:left w:w="0" w:type="dxa"/>
            <w:bottom w:w="0" w:type="dxa"/>
            <w:right w:w="0" w:type="dxa"/>
          </w:tblCellMar>
        </w:tblPrEx>
        <w:trPr>
          <w:trHeight w:val="1782" w:hRule="atLeast"/>
        </w:trPr>
        <w:tc>
          <w:tcPr>
            <w:tcW w:w="39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市</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域</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社</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会</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治</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理</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体</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制</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现</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代</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化</w:t>
            </w:r>
          </w:p>
        </w:tc>
        <w:tc>
          <w:tcPr>
            <w:tcW w:w="82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完善高效联动、上下贯通的指挥体制</w:t>
            </w: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14.推进街道（镇）治理创新</w:t>
            </w:r>
          </w:p>
        </w:tc>
        <w:tc>
          <w:tcPr>
            <w:tcW w:w="98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推动对街道赋权赋能。强化街道社会治理和公共服务职能。推进行政执法权限和力量向基层延伸和下沉,强化街道的统一指挥和统筹协调职责。整合现有站所、分局执法力量和资源,组建统一的综合行政执法机构,按照法律规定相对集中行使行政处罚权,以街道名义开展执法工作,并接受有关区级主管部门的业务指导和监督。制定街道信息公开办法,加强行政权力监督制约。</w:t>
            </w:r>
          </w:p>
        </w:tc>
        <w:tc>
          <w:tcPr>
            <w:tcW w:w="133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司法所</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便民服务中心</w:t>
            </w:r>
          </w:p>
          <w:p>
            <w:pPr>
              <w:keepNext w:val="0"/>
              <w:keepLines w:val="0"/>
              <w:widowControl/>
              <w:suppressLineNumbers w:val="0"/>
              <w:jc w:val="center"/>
              <w:textAlignment w:val="center"/>
              <w:rPr>
                <w:rFonts w:hint="eastAsia"/>
                <w:lang w:val="en-US" w:eastAsia="zh-CN"/>
              </w:rPr>
            </w:pPr>
            <w:r>
              <w:rPr>
                <w:rFonts w:hint="eastAsia" w:ascii="仿宋" w:hAnsi="仿宋" w:eastAsia="仿宋" w:cs="仿宋"/>
                <w:i w:val="0"/>
                <w:color w:val="000000"/>
                <w:kern w:val="0"/>
                <w:sz w:val="22"/>
                <w:szCs w:val="22"/>
                <w:u w:val="none"/>
                <w:lang w:val="en-US" w:eastAsia="zh-CN" w:bidi="ar"/>
              </w:rPr>
              <w:t>行政执法办</w:t>
            </w:r>
          </w:p>
        </w:tc>
      </w:tr>
      <w:tr>
        <w:tblPrEx>
          <w:tblCellMar>
            <w:top w:w="0" w:type="dxa"/>
            <w:left w:w="0" w:type="dxa"/>
            <w:bottom w:w="0" w:type="dxa"/>
            <w:right w:w="0" w:type="dxa"/>
          </w:tblCellMar>
        </w:tblPrEx>
        <w:trPr>
          <w:trHeight w:val="2996" w:hRule="atLeast"/>
        </w:trPr>
        <w:tc>
          <w:tcPr>
            <w:tcW w:w="39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15.深入推进社会治理创新，深化拓展网格化管理</w:t>
            </w:r>
          </w:p>
        </w:tc>
        <w:tc>
          <w:tcPr>
            <w:tcW w:w="9871"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推进网格化服务管理标准化建设,实现网格化服务管理“多网合一”、全域覆盖,加强网格力量配备,每个网格配备至少1名专(兼)职网格员。实行定人、定岗、定责。建立网格员队伍的管理、培训、保障、激励机制,提升网格员队伍专业化水平。推动网格化服务管理中心与综治中心,社区级综合服务管理平台等一体化运行。</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(2)深化社区警务战略,加强社区警务室建设,“一村一警(辅警)”100%全覆盖。加快推进党建引领社区物业服务工作,推动相关机制与网格化服务管理机制紧密融合,延伸资源、服务、管理。</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(3)推动“枫桥经验”向社区治理延伸,着眼于无非正常上访、无刑事治安案件、无邪教、无黑恶势力、无公共安全事故”无毒害、无群体性事件等目标,开展“平安社区“青少年零犯罪零受害社区等建设活动。</w:t>
            </w:r>
          </w:p>
        </w:tc>
        <w:tc>
          <w:tcPr>
            <w:tcW w:w="13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派出所</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公共服务办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社会治理办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行政执法办</w:t>
            </w:r>
          </w:p>
        </w:tc>
      </w:tr>
      <w:tr>
        <w:tblPrEx>
          <w:tblCellMar>
            <w:top w:w="0" w:type="dxa"/>
            <w:left w:w="0" w:type="dxa"/>
            <w:bottom w:w="0" w:type="dxa"/>
            <w:right w:w="0" w:type="dxa"/>
          </w:tblCellMar>
        </w:tblPrEx>
        <w:trPr>
          <w:trHeight w:val="2108" w:hRule="atLeast"/>
        </w:trPr>
        <w:tc>
          <w:tcPr>
            <w:tcW w:w="39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市</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域</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社</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会</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治</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理</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工</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作</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布</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局</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现</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代</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化</w:t>
            </w:r>
          </w:p>
        </w:tc>
        <w:tc>
          <w:tcPr>
            <w:tcW w:w="8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着力维护国家政治安全</w:t>
            </w: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16.健全维护国家政治安全工作体系</w:t>
            </w:r>
          </w:p>
        </w:tc>
        <w:tc>
          <w:tcPr>
            <w:tcW w:w="98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(1)构建维护国家政治安全工作机制。加强国家安全人民防线建设。</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(2)依法加强境外非政府组织在西湖辖区活动管理。</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(3)防范打击宗教极端活动,深化反恐怖斗争。</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(4)严密防范境外宗教渗透活动,依法防范处置利用宗教从事的违法犯罪活动。</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(5)深入开展反邪教斗争,深挖打击邪教违法犯罪活动,扎实做好邪教风险预警与处置,加强基层反邪教宣传教育。</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(6)落实意识形态工作责任制,加强意识形态阵地建设和管理。</w:t>
            </w:r>
          </w:p>
        </w:tc>
        <w:tc>
          <w:tcPr>
            <w:tcW w:w="1334"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党政办</w:t>
            </w:r>
          </w:p>
          <w:p>
            <w:pPr>
              <w:keepNext w:val="0"/>
              <w:keepLines w:val="0"/>
              <w:widowControl/>
              <w:suppressLineNumbers w:val="0"/>
              <w:jc w:val="center"/>
              <w:textAlignment w:val="center"/>
              <w:rPr>
                <w:rFonts w:hint="eastAsia"/>
                <w:lang w:val="en-US" w:eastAsia="zh-CN"/>
              </w:rPr>
            </w:pPr>
            <w:r>
              <w:rPr>
                <w:rFonts w:hint="eastAsia" w:ascii="仿宋" w:hAnsi="仿宋" w:eastAsia="仿宋" w:cs="仿宋"/>
                <w:i w:val="0"/>
                <w:color w:val="000000"/>
                <w:kern w:val="0"/>
                <w:sz w:val="22"/>
                <w:szCs w:val="22"/>
                <w:u w:val="none"/>
                <w:lang w:val="en-US" w:eastAsia="zh-CN" w:bidi="ar"/>
              </w:rPr>
              <w:t>社会治理办</w:t>
            </w:r>
          </w:p>
        </w:tc>
      </w:tr>
      <w:tr>
        <w:tblPrEx>
          <w:tblCellMar>
            <w:top w:w="0" w:type="dxa"/>
            <w:left w:w="0" w:type="dxa"/>
            <w:bottom w:w="0" w:type="dxa"/>
            <w:right w:w="0" w:type="dxa"/>
          </w:tblCellMar>
        </w:tblPrEx>
        <w:trPr>
          <w:trHeight w:val="2098" w:hRule="atLeast"/>
        </w:trPr>
        <w:tc>
          <w:tcPr>
            <w:tcW w:w="39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完善社会治安防控体系建设</w:t>
            </w: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17.对突出违法犯罪保持高压震慑态度</w:t>
            </w:r>
          </w:p>
        </w:tc>
        <w:tc>
          <w:tcPr>
            <w:tcW w:w="98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(1)密切跟踪人民群众反映强烈的治安问题,因地制宜建立经常性专项性打击整治机制。深化对突出违法犯罪的打击整治。深入推进扫黑除恶专项斗争,坚持打防并举、标本兼治,建立完善扫黑除恶常态化机制。</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深化缉枪治爆斗争和禁毒人民战争,严厉打击“盗抢骗”“黄赌毒”“食药环”等突出违法犯罪。开展打击“套路贷”“校园贷”违法犯罪专项行动、传销“清网”行动、“术中加价”专项整治等行动。依法打击各类经济犯罪,维护市场经济秩序。提升打击电信网络等新型犯罪和跨区域犯罪能力。</w:t>
            </w:r>
          </w:p>
        </w:tc>
        <w:tc>
          <w:tcPr>
            <w:tcW w:w="1334"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派出所</w:t>
            </w:r>
          </w:p>
          <w:p>
            <w:pPr>
              <w:keepNext w:val="0"/>
              <w:keepLines w:val="0"/>
              <w:widowControl/>
              <w:suppressLineNumbers w:val="0"/>
              <w:jc w:val="center"/>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社会治理办公共服务办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党政办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行政执法办</w:t>
            </w:r>
          </w:p>
          <w:p>
            <w:pPr>
              <w:pStyle w:val="2"/>
              <w:jc w:val="center"/>
              <w:rPr>
                <w:rFonts w:hint="eastAsia" w:ascii="仿宋" w:hAnsi="仿宋" w:eastAsia="仿宋" w:cs="仿宋"/>
                <w:i w:val="0"/>
                <w:color w:val="000000"/>
                <w:kern w:val="0"/>
                <w:sz w:val="22"/>
                <w:szCs w:val="22"/>
                <w:u w:val="none"/>
                <w:lang w:val="en-US" w:eastAsia="zh-CN" w:bidi="ar"/>
              </w:rPr>
            </w:pPr>
          </w:p>
        </w:tc>
      </w:tr>
      <w:tr>
        <w:tblPrEx>
          <w:tblCellMar>
            <w:top w:w="0" w:type="dxa"/>
            <w:left w:w="0" w:type="dxa"/>
            <w:bottom w:w="0" w:type="dxa"/>
            <w:right w:w="0" w:type="dxa"/>
          </w:tblCellMar>
        </w:tblPrEx>
        <w:trPr>
          <w:trHeight w:val="1511" w:hRule="atLeast"/>
        </w:trPr>
        <w:tc>
          <w:tcPr>
            <w:tcW w:w="39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18.加强社会面治安防控网建设</w:t>
            </w:r>
          </w:p>
        </w:tc>
        <w:tc>
          <w:tcPr>
            <w:tcW w:w="9871"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建设完善立体化、法治化、专业化、智能化的社会治安防控体系,优化防控力量布局,构建紧密衔接的地面、空中、网上防线,打造高效联动的核心、外围、远端防线。紧盯重点区域、部位,强化重点场所安全防范机制。</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(2)坚持专群结合,科学调配公安干警、辅警及群防群治力量,结合实际,提高街面布警比例,建立不低于常住人口1‰的专兼职平安巡防队伍。</w:t>
            </w:r>
          </w:p>
        </w:tc>
        <w:tc>
          <w:tcPr>
            <w:tcW w:w="13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派出所</w:t>
            </w:r>
          </w:p>
        </w:tc>
      </w:tr>
      <w:tr>
        <w:tblPrEx>
          <w:tblCellMar>
            <w:top w:w="0" w:type="dxa"/>
            <w:left w:w="0" w:type="dxa"/>
            <w:bottom w:w="0" w:type="dxa"/>
            <w:right w:w="0" w:type="dxa"/>
          </w:tblCellMar>
        </w:tblPrEx>
        <w:trPr>
          <w:trHeight w:val="2414" w:hRule="atLeast"/>
        </w:trPr>
        <w:tc>
          <w:tcPr>
            <w:tcW w:w="39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市</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域</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社</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会</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治</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理</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工</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作</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布</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局</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现</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代</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化</w:t>
            </w:r>
          </w:p>
        </w:tc>
        <w:tc>
          <w:tcPr>
            <w:tcW w:w="82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完善社会治安防控体系建设</w:t>
            </w: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19.加强流动人口服务管理工作，加强重点行业和重点人员治安防控网建设</w:t>
            </w:r>
          </w:p>
        </w:tc>
        <w:tc>
          <w:tcPr>
            <w:tcW w:w="98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(1)加强流动人口管理,落实社会保障、公共服务、社会管理政策措施。</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加强社区矫正对象、吸毒人员、严重精神障碍患者等各类特殊人群服务管理工作,健全政府、社会、家庭三位一体的关怀帮扶体系,健全相关专业社会组织、社会工作人才队伍等,落实安置、教育、矫治、管理以及综合干预措施。深入落实严重精神障碍患者监护人“以奖代补”政策。加强问题青少年帮扶工作，深化预防青少年违法犯罪。</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(3)加强旅馆业、机动车修理业、娱乐服务业等重点行业的治安管理工作,加强邮件、快件寄递和物流运输安全管理,落实法人或负责人责任,100%落实实名登记、物品安全检查或者开封验视制度。</w:t>
            </w:r>
          </w:p>
        </w:tc>
        <w:tc>
          <w:tcPr>
            <w:tcW w:w="133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派出所</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司法所</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公共服务办党政办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党建办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社会治理办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行政执法办</w:t>
            </w:r>
          </w:p>
        </w:tc>
      </w:tr>
      <w:tr>
        <w:tblPrEx>
          <w:tblCellMar>
            <w:top w:w="0" w:type="dxa"/>
            <w:left w:w="0" w:type="dxa"/>
            <w:bottom w:w="0" w:type="dxa"/>
            <w:right w:w="0" w:type="dxa"/>
          </w:tblCellMar>
        </w:tblPrEx>
        <w:trPr>
          <w:trHeight w:val="2799" w:hRule="atLeast"/>
        </w:trPr>
        <w:tc>
          <w:tcPr>
            <w:tcW w:w="39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20.提高网络综合治理能力，形成综合治网格局</w:t>
            </w:r>
          </w:p>
        </w:tc>
        <w:tc>
          <w:tcPr>
            <w:tcW w:w="9871"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建设有关部门依法监管、网站自净、网民自律、社会监督等多主体协同参与的网络综合治理体系。深化网安警务室等建设,加强互联网内容建设,依法对社交网络和即时通讯工具监管,依法坚决打击整治网络谣言和有害信息,净化网上政治生态。依法严厉打击网络犯罪利益链条。加强网络安全监管、电话用户实名登记,落实网络安全主体责任。</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（2)建设政务(政法)网络新媒体,做好政务(司法)公开、信息发布、舆论引导和公共服务。建设网络文明志愿者队伍,上网理性发声、参与公益活动、凝聚社会共识。</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(3)借鉴“网上枫桥经验”,规范和引导网络社团社群健康发展;推进社区、网格群众工作微信群全覆盖,发动党员、社区工作者、网格员、人民调解员等“进群”,建立相应的诉求收集、解决、回应机制。</w:t>
            </w:r>
          </w:p>
        </w:tc>
        <w:tc>
          <w:tcPr>
            <w:tcW w:w="13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派出所</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党建办</w:t>
            </w:r>
          </w:p>
          <w:p>
            <w:pPr>
              <w:keepNext w:val="0"/>
              <w:keepLines w:val="0"/>
              <w:widowControl/>
              <w:suppressLineNumbers w:val="0"/>
              <w:jc w:val="center"/>
              <w:textAlignment w:val="center"/>
              <w:rPr>
                <w:rFonts w:hint="eastAsia"/>
                <w:lang w:val="en-US" w:eastAsia="zh-CN"/>
              </w:rPr>
            </w:pPr>
            <w:r>
              <w:rPr>
                <w:rFonts w:hint="eastAsia" w:ascii="仿宋" w:hAnsi="仿宋" w:eastAsia="仿宋" w:cs="仿宋"/>
                <w:i w:val="0"/>
                <w:color w:val="000000"/>
                <w:kern w:val="0"/>
                <w:sz w:val="22"/>
                <w:szCs w:val="22"/>
                <w:u w:val="none"/>
                <w:lang w:val="en-US" w:eastAsia="zh-CN" w:bidi="ar"/>
              </w:rPr>
              <w:t>社会治理办</w:t>
            </w:r>
          </w:p>
        </w:tc>
      </w:tr>
      <w:tr>
        <w:tblPrEx>
          <w:tblCellMar>
            <w:top w:w="0" w:type="dxa"/>
            <w:left w:w="0" w:type="dxa"/>
            <w:bottom w:w="0" w:type="dxa"/>
            <w:right w:w="0" w:type="dxa"/>
          </w:tblCellMar>
        </w:tblPrEx>
        <w:trPr>
          <w:trHeight w:val="3777" w:hRule="atLeast"/>
        </w:trPr>
        <w:tc>
          <w:tcPr>
            <w:tcW w:w="39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市</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域</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社</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会</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治</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理</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工</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作</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布</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局</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现</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代</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化</w:t>
            </w:r>
          </w:p>
        </w:tc>
        <w:tc>
          <w:tcPr>
            <w:tcW w:w="82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防范化解社会矛盾风险</w:t>
            </w: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21.完善重大决策社会稳定风险评估机制、社会矛盾排查预警机制</w:t>
            </w:r>
          </w:p>
        </w:tc>
        <w:tc>
          <w:tcPr>
            <w:tcW w:w="98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加大保障和改善民生力度，妥善协调各方面利益关系，源头预防和减少社会矛盾。全面落实重大决策社会稳定风险评估制度，建立社会稳定风险评估专家库，推动矛盾风险防范与经济社会发展同步规划、同步实施。</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坚持定期排查和重点排查相结合，健全社会矛盾排查预警机制，以经济、金融、劳资、环保、征地拆迁、交通运输、房地产等领域为重点，运用信息技术加强对社情、舆情和公众诉求的监测分析，及时发现、有效处置行动性、 苗头性情报信息。加强对婚姻家庭纠纷等民间纠纷的排查调处，有效防范可能引发的案事件。</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（3)全面推行县级领导每月接访和包案制度，认真负责地解决信访积案和群众合理合法诉求，切实把矛盾问题解决在当地。</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4)做好涉军、涉众等特定利益群体政策落实、帮扶解困、教育稳控等工作，制定高风险主体处置应对方案，切实消除群体性事件风险隐患。按照“全覆盖”“五有”等要求，全面建设退役军人服务保障体系，推动依法及时就地解决矛盾问题。</w:t>
            </w:r>
          </w:p>
        </w:tc>
        <w:tc>
          <w:tcPr>
            <w:tcW w:w="133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社会治理办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公共服务办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党政办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行政执法办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党建办</w:t>
            </w:r>
          </w:p>
        </w:tc>
      </w:tr>
      <w:tr>
        <w:tblPrEx>
          <w:tblCellMar>
            <w:top w:w="0" w:type="dxa"/>
            <w:left w:w="0" w:type="dxa"/>
            <w:bottom w:w="0" w:type="dxa"/>
            <w:right w:w="0" w:type="dxa"/>
          </w:tblCellMar>
        </w:tblPrEx>
        <w:trPr>
          <w:trHeight w:val="3634" w:hRule="atLeast"/>
        </w:trPr>
        <w:tc>
          <w:tcPr>
            <w:tcW w:w="39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22.完善矛盾纠纷多元调处化解机制</w:t>
            </w:r>
          </w:p>
        </w:tc>
        <w:tc>
          <w:tcPr>
            <w:tcW w:w="98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（1)坚持发展新时代＂枫桥经验＂， 畅通和规范人民群众诉求表达、利益协调、权益保障通道。完善调解、仲裁、行政裁决、 行政复议、诉讼等有机衔接、相互协调、高效便捷的多元化纠纷解决机制，落实调解协议司法确认等非诉解纷方式司法效率保障机制。通过“两代表一委员”工作机制、个人调解工作室等方式，拓宽第三方参与矛盾化解的制度化渠道。深入开展诉源治理工作，民事、 行政案件万人起诉率稳步下降至合理区间。</w:t>
            </w:r>
          </w:p>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（2)健全人民调解、行政调解、司法调解联动工作体系。完善街道、社区人民调解组织网络，推进行业性、 专业性调解组织发展，加强律师调解工作。发挥司法行政等部门作用，建立新型调解组织培育孵化、调解组织管理和调解员培训工作平台。加强调解员队伍建设，发展专职人民调解员队伍，完善培训、激励机制，提高调解员专业化水平。</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推进信访接待中心、综治中心等融合，诉调对接中心与诉讼服务中心融合，提供“一站式”解纷服务，建设在线矛盾纠纷化解平台并与社会治理综合信息系统对接，充分整合矛盾化解资源，推动纠纷线上解决机制建设。</w:t>
            </w:r>
          </w:p>
        </w:tc>
        <w:tc>
          <w:tcPr>
            <w:tcW w:w="133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派出所</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司法所</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社会治理办</w:t>
            </w:r>
          </w:p>
        </w:tc>
      </w:tr>
      <w:tr>
        <w:tblPrEx>
          <w:tblCellMar>
            <w:top w:w="0" w:type="dxa"/>
            <w:left w:w="0" w:type="dxa"/>
            <w:bottom w:w="0" w:type="dxa"/>
            <w:right w:w="0" w:type="dxa"/>
          </w:tblCellMar>
        </w:tblPrEx>
        <w:trPr>
          <w:trHeight w:val="1984" w:hRule="atLeast"/>
        </w:trPr>
        <w:tc>
          <w:tcPr>
            <w:tcW w:w="39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市</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域</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社</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会</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治</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理</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工</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作</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布</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局</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现</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代</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化</w:t>
            </w:r>
          </w:p>
        </w:tc>
        <w:tc>
          <w:tcPr>
            <w:tcW w:w="8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防范化解社会矛盾风险</w:t>
            </w: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23.健全社会心理服务体系和疏导机制、危机干预机制</w:t>
            </w:r>
          </w:p>
        </w:tc>
        <w:tc>
          <w:tcPr>
            <w:tcW w:w="98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（1)推动将社会心理服务纳入基本公共服务体系，建立区级“心理人才库”， 推进社会心理服务队伍和机构建设。依托区、街道两级综治中心、社区级综合服务管理平台建设心理咨询室或社会工作（站）， 街道建立精神卫生综合管理小组，推进相关工作开展。</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（2)推动社会心理服务和教育进学校、进社区、进单位，充分开展公众心理健康宣传，通过热线、网站、APP、微信公众号等方式，搭建心理援助公益服务平台，实现普通人群心理健康知识知晓率达到70%。</w:t>
            </w:r>
          </w:p>
        </w:tc>
        <w:tc>
          <w:tcPr>
            <w:tcW w:w="133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公共服务办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社会治理办</w:t>
            </w:r>
          </w:p>
          <w:p>
            <w:pPr>
              <w:keepNext w:val="0"/>
              <w:keepLines w:val="0"/>
              <w:widowControl/>
              <w:suppressLineNumbers w:val="0"/>
              <w:jc w:val="center"/>
              <w:textAlignment w:val="center"/>
              <w:rPr>
                <w:rFonts w:hint="eastAsia"/>
                <w:lang w:val="en-US" w:eastAsia="zh-CN"/>
              </w:rPr>
            </w:pPr>
            <w:r>
              <w:rPr>
                <w:rFonts w:hint="eastAsia" w:ascii="仿宋" w:hAnsi="仿宋" w:eastAsia="仿宋" w:cs="仿宋"/>
                <w:i w:val="0"/>
                <w:color w:val="000000"/>
                <w:kern w:val="0"/>
                <w:sz w:val="22"/>
                <w:szCs w:val="22"/>
                <w:u w:val="none"/>
                <w:lang w:val="en-US" w:eastAsia="zh-CN" w:bidi="ar"/>
              </w:rPr>
              <w:t>党建办</w:t>
            </w:r>
          </w:p>
        </w:tc>
      </w:tr>
      <w:tr>
        <w:tblPrEx>
          <w:tblCellMar>
            <w:top w:w="0" w:type="dxa"/>
            <w:left w:w="0" w:type="dxa"/>
            <w:bottom w:w="0" w:type="dxa"/>
            <w:right w:w="0" w:type="dxa"/>
          </w:tblCellMar>
        </w:tblPrEx>
        <w:trPr>
          <w:trHeight w:val="1185" w:hRule="atLeast"/>
        </w:trPr>
        <w:tc>
          <w:tcPr>
            <w:tcW w:w="39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保障公共安全</w:t>
            </w: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24.把好公共安全风险源头关</w:t>
            </w:r>
          </w:p>
        </w:tc>
        <w:tc>
          <w:tcPr>
            <w:tcW w:w="98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（1)落实公共安全属地责任、部门责任、企业责任，建立行业安全稳定风险评估、化解和管控制度，确保管行业、管业务、管生产同步管安全稳定。</w:t>
            </w:r>
          </w:p>
        </w:tc>
        <w:tc>
          <w:tcPr>
            <w:tcW w:w="1334"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派出所</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社会治理办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行政执法办</w:t>
            </w:r>
          </w:p>
        </w:tc>
      </w:tr>
      <w:tr>
        <w:tblPrEx>
          <w:tblCellMar>
            <w:top w:w="0" w:type="dxa"/>
            <w:left w:w="0" w:type="dxa"/>
            <w:bottom w:w="0" w:type="dxa"/>
            <w:right w:w="0" w:type="dxa"/>
          </w:tblCellMar>
        </w:tblPrEx>
        <w:trPr>
          <w:trHeight w:val="1996" w:hRule="atLeast"/>
        </w:trPr>
        <w:tc>
          <w:tcPr>
            <w:tcW w:w="39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25.把好公共安全风险监测关</w:t>
            </w:r>
          </w:p>
        </w:tc>
        <w:tc>
          <w:tcPr>
            <w:tcW w:w="98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（1)完善公共安全风险监测预警体系，提高对重点领域、部位、环节、人群的动态监测、实时预警能力。建立军地协作风险联测联防联处机制，推动公共安全监管执法和综合治理一体化。</w:t>
            </w:r>
          </w:p>
        </w:tc>
        <w:tc>
          <w:tcPr>
            <w:tcW w:w="1334"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社会治理办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派出所</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司法所</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公共服务办党政办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党建办</w:t>
            </w:r>
          </w:p>
        </w:tc>
      </w:tr>
      <w:tr>
        <w:tblPrEx>
          <w:tblCellMar>
            <w:top w:w="0" w:type="dxa"/>
            <w:left w:w="0" w:type="dxa"/>
            <w:bottom w:w="0" w:type="dxa"/>
            <w:right w:w="0" w:type="dxa"/>
          </w:tblCellMar>
        </w:tblPrEx>
        <w:trPr>
          <w:trHeight w:val="1574" w:hRule="atLeast"/>
        </w:trPr>
        <w:tc>
          <w:tcPr>
            <w:tcW w:w="39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26.把好公共安全风险管控关</w:t>
            </w:r>
          </w:p>
        </w:tc>
        <w:tc>
          <w:tcPr>
            <w:tcW w:w="9871"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健全街道、社区两级应急综合指挥平台，完善突发案事件应急处置机制，构建实战化、扁平化、合成化应急处置模式。建立综合性应急处突队伍，加强街道处突力量和社会救援力量建设。强化综合实战演练，提高快速反应和应急处置能力，实现上下衔接、统分结合。</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（2)健全落实依法处理、舆论引导、社会面管控“三同步”机制，妥善处置各类敏感舆情，营造良好舆论生态。</w:t>
            </w:r>
          </w:p>
        </w:tc>
        <w:tc>
          <w:tcPr>
            <w:tcW w:w="13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社会治理办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派出所</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党建办</w:t>
            </w:r>
          </w:p>
        </w:tc>
      </w:tr>
      <w:tr>
        <w:tblPrEx>
          <w:tblCellMar>
            <w:top w:w="0" w:type="dxa"/>
            <w:left w:w="0" w:type="dxa"/>
            <w:bottom w:w="0" w:type="dxa"/>
            <w:right w:w="0" w:type="dxa"/>
          </w:tblCellMar>
        </w:tblPrEx>
        <w:trPr>
          <w:trHeight w:val="2778" w:hRule="atLeast"/>
        </w:trPr>
        <w:tc>
          <w:tcPr>
            <w:tcW w:w="39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市</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域</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社</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会</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治</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理</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方</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式</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现</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代</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化</w:t>
            </w:r>
          </w:p>
        </w:tc>
        <w:tc>
          <w:tcPr>
            <w:tcW w:w="8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发挥政治引领作用</w:t>
            </w: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27.把政治建设贯穿于社会治理全过程和各方面</w:t>
            </w:r>
          </w:p>
        </w:tc>
        <w:tc>
          <w:tcPr>
            <w:tcW w:w="98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（1)坚持不懈用习近平新时代中国特色社会主义思想武装头脑，教育引导广大党员干部增强“四个意识”、坚定“四个自信”、做到“两个维护”。</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（2)推动习近平新时代中国特色社会主义思想进机关、进企业、进校园、进社区，广泛生动开展理想信念教育和中国梦宣传教育，引导广大人民群众听党话、跟党走，坚定不移走中国特色社会主义道路。</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（3)健全完善政治督察、巡视巡察、执法监督、纪律作风督查巡查等制度机制，更好地把党的理论优势、政治优势、制度优势、密切联系群众优势转化为社会治理效能。</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4)加强政法机关党的建设，健全落实不忘初心、牢记使命的制度，坚持和完善各级学习制度、集中轮训制度、理论宣传研究制度等，全面落实政法机关党组（党委）向同级党委请示报告制度。加强政治纪律和政治规矩教育，确保绝对忠诚、绝对纯洁、绝对可靠。</w:t>
            </w:r>
          </w:p>
        </w:tc>
        <w:tc>
          <w:tcPr>
            <w:tcW w:w="133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社会治理办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党建办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派出所</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司法所</w:t>
            </w:r>
          </w:p>
        </w:tc>
      </w:tr>
      <w:tr>
        <w:tblPrEx>
          <w:tblCellMar>
            <w:top w:w="0" w:type="dxa"/>
            <w:left w:w="0" w:type="dxa"/>
            <w:bottom w:w="0" w:type="dxa"/>
            <w:right w:w="0" w:type="dxa"/>
          </w:tblCellMar>
        </w:tblPrEx>
        <w:trPr>
          <w:trHeight w:val="1433" w:hRule="atLeast"/>
        </w:trPr>
        <w:tc>
          <w:tcPr>
            <w:tcW w:w="39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发挥法治保障作用</w:t>
            </w: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28.建设科学完备的法律规范体系</w:t>
            </w:r>
          </w:p>
        </w:tc>
        <w:tc>
          <w:tcPr>
            <w:tcW w:w="98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（1)结合实际，针对网格化服务管理、矛盾纠纷多元化解、疑难复杂信访事项处理等本地社社会治理难点问题进行调研，向市人大建议及推动相关地方性法规和政策完善。</w:t>
            </w:r>
          </w:p>
        </w:tc>
        <w:tc>
          <w:tcPr>
            <w:tcW w:w="133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党政办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司法所</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公共服务办派出所</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社会治理办</w:t>
            </w:r>
          </w:p>
        </w:tc>
      </w:tr>
      <w:tr>
        <w:tblPrEx>
          <w:tblCellMar>
            <w:top w:w="0" w:type="dxa"/>
            <w:left w:w="0" w:type="dxa"/>
            <w:bottom w:w="0" w:type="dxa"/>
            <w:right w:w="0" w:type="dxa"/>
          </w:tblCellMar>
        </w:tblPrEx>
        <w:trPr>
          <w:trHeight w:val="2841" w:hRule="atLeast"/>
        </w:trPr>
        <w:tc>
          <w:tcPr>
            <w:tcW w:w="39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29.建设公正权威的法治实施体系</w:t>
            </w:r>
          </w:p>
        </w:tc>
        <w:tc>
          <w:tcPr>
            <w:tcW w:w="9871"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（1)落实党委政府法律顾问、公职律师制度实现全厦盖，全面落实街道、社区两级重大决策项目依法决策机制，严格履行公众参与、专家论证、风险评估、合法性审查、 集体讨论决定等程序。</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加强行政执法管理，全面推行行政执法公示制度、执法全过程记录制度、重大执法决定法制审核制度，严格确定行政执法责任和责任追究机制。加大扶贫、安全生产、生态环境、食品药品、交通安全、教育考试等民生领域执法力度。落实行政机关负责人出庭应诉制度。</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（3)全面落实司法责任制，推进严格公正司法，落实领导干部干预司法活动、插手具体案件的记录、通报、责任追究制度。建立产权保护统筹协调机制。推动行政执法与刑事司法有机衔接。</w:t>
            </w:r>
          </w:p>
        </w:tc>
        <w:tc>
          <w:tcPr>
            <w:tcW w:w="133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司法所</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派出所</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现在执法办</w:t>
            </w:r>
          </w:p>
        </w:tc>
      </w:tr>
      <w:tr>
        <w:tblPrEx>
          <w:tblCellMar>
            <w:top w:w="0" w:type="dxa"/>
            <w:left w:w="0" w:type="dxa"/>
            <w:bottom w:w="0" w:type="dxa"/>
            <w:right w:w="0" w:type="dxa"/>
          </w:tblCellMar>
        </w:tblPrEx>
        <w:trPr>
          <w:trHeight w:val="1875" w:hRule="atLeast"/>
        </w:trPr>
        <w:tc>
          <w:tcPr>
            <w:tcW w:w="39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市</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域</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社</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会</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治</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理</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方</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式</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现</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代</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化</w:t>
            </w:r>
          </w:p>
        </w:tc>
        <w:tc>
          <w:tcPr>
            <w:tcW w:w="82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发挥法治保障作用</w:t>
            </w: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30.建设规范严密的法治监督体系</w:t>
            </w:r>
          </w:p>
        </w:tc>
        <w:tc>
          <w:tcPr>
            <w:tcW w:w="98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（1)探索完善执法司法公信力评价制度。完善执法司法权运行机制和管理监督制约体系，建立立体化、全天候、上下贯通的法治监督网络。</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（2)完善党委、纪检监察机关、党委政法委员会对政法单位的监督机制，保证党的路线方针政策和党中央重大决策部署贯彻落实，保证宪法法律正确统一实施。</w:t>
            </w:r>
          </w:p>
        </w:tc>
        <w:tc>
          <w:tcPr>
            <w:tcW w:w="133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社会治理办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派出所</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司法所</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党政办</w:t>
            </w:r>
          </w:p>
        </w:tc>
      </w:tr>
      <w:tr>
        <w:tblPrEx>
          <w:tblCellMar>
            <w:top w:w="0" w:type="dxa"/>
            <w:left w:w="0" w:type="dxa"/>
            <w:bottom w:w="0" w:type="dxa"/>
            <w:right w:w="0" w:type="dxa"/>
          </w:tblCellMar>
        </w:tblPrEx>
        <w:trPr>
          <w:trHeight w:val="3519" w:hRule="atLeast"/>
        </w:trPr>
        <w:tc>
          <w:tcPr>
            <w:tcW w:w="39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31.建设务实管用的法治保障体系</w:t>
            </w:r>
          </w:p>
        </w:tc>
        <w:tc>
          <w:tcPr>
            <w:tcW w:w="98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落实国家工作人员学法用法制度，把宪法法律列入党委中心组学习内容，列为党校必修课，落实法治宣传相关国家规划，完善分业、分类、分众法治宣传教育机制，落实“谁执法谁普法”普法责任制，健全以案释法制度。大力推进法治文化阵地建设，有效推进法治文化与传统文化、地方文化、行业文化、校园文化等融合发展，实现法治精神向社会文化生活的深入融合。开展群众性法治文化活动，全民法治宣传教育普及率≥80%。深入推进公共法律服务实体平台建设，统筹推进热线、网络平台建设，建成覆盖全域、便捷高效、均等普惠的现代公共法律服务网络。充分发挥司法所功能作用。</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健全政法干警激励保障政策，全面落实从优待警措施，健全司法辅助人员、警务辅助人员管理制度，健全律师、公证员、司法鉴定人、仲裁员等法律服务工作者职业道德和行风建设政策，落实律师权利保障和违法执业惩戒、公证过错责任追究、鉴定人出庭、仲裁员信息披露回避等制度，提高公共法律服务水平。</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（3)充分发挥党校资源人才优势，深入开展社会治理理论研究、队伍培训。</w:t>
            </w:r>
          </w:p>
        </w:tc>
        <w:tc>
          <w:tcPr>
            <w:tcW w:w="133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司法所</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党政办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派出所</w:t>
            </w:r>
          </w:p>
        </w:tc>
      </w:tr>
      <w:tr>
        <w:tblPrEx>
          <w:tblCellMar>
            <w:top w:w="0" w:type="dxa"/>
            <w:left w:w="0" w:type="dxa"/>
            <w:bottom w:w="0" w:type="dxa"/>
            <w:right w:w="0" w:type="dxa"/>
          </w:tblCellMar>
        </w:tblPrEx>
        <w:trPr>
          <w:trHeight w:val="1975" w:hRule="atLeast"/>
        </w:trPr>
        <w:tc>
          <w:tcPr>
            <w:tcW w:w="39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市</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域</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社</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会</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治</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理</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方</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式</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现</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代</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化</w:t>
            </w:r>
          </w:p>
        </w:tc>
        <w:tc>
          <w:tcPr>
            <w:tcW w:w="82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发挥德治教化作用</w:t>
            </w: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32. 大力弘扬社会主义核心价值观</w:t>
            </w:r>
          </w:p>
        </w:tc>
        <w:tc>
          <w:tcPr>
            <w:tcW w:w="98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坚持培育和践行社会主义核心价值观，挖掘中华优秀传统文化、弘扬优良革命传统，用社会主义先进文化陶冶道德情操。深入实施公民道德建设工程，建立未成年人思想道德建设联席会议制度，全面建设社会、学校、家庭“三位一体”的德育网络。注重发挥家庭教风在社会治理中的作用。理直气壮宣传无神论，弘扬科学精神。</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（2)充分发挥主流媒体特别是网络新媒体主阵地作用，讲好“平安好故事”、传播“法治好声音”， 展示社会治理现代化新气象，牢牢掌握社会治理宣传舆论工作主动权、主导权。</w:t>
            </w:r>
          </w:p>
        </w:tc>
        <w:tc>
          <w:tcPr>
            <w:tcW w:w="133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党建办</w:t>
            </w:r>
          </w:p>
        </w:tc>
      </w:tr>
      <w:tr>
        <w:tblPrEx>
          <w:tblCellMar>
            <w:top w:w="0" w:type="dxa"/>
            <w:left w:w="0" w:type="dxa"/>
            <w:bottom w:w="0" w:type="dxa"/>
            <w:right w:w="0" w:type="dxa"/>
          </w:tblCellMar>
        </w:tblPrEx>
        <w:trPr>
          <w:trHeight w:val="1419" w:hRule="atLeast"/>
        </w:trPr>
        <w:tc>
          <w:tcPr>
            <w:tcW w:w="39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33.推进道德领域宣传、评议工作</w:t>
            </w:r>
          </w:p>
        </w:tc>
        <w:tc>
          <w:tcPr>
            <w:tcW w:w="98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（1)及时表彰见义勇为行为。开展“身边好人”“乡贤能人”等宣传活动，弘扬时代新风。</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（2)在社区（村）全面推进红白理事会、道德评议会等评议机制，设立红黑榜、 义举榜等平台，开展“星级文明户”“文明家庭”等评选，形成良好的道德约束激励机制。</w:t>
            </w:r>
          </w:p>
        </w:tc>
        <w:tc>
          <w:tcPr>
            <w:tcW w:w="133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社会治理办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党建</w:t>
            </w:r>
          </w:p>
        </w:tc>
      </w:tr>
      <w:tr>
        <w:tblPrEx>
          <w:tblCellMar>
            <w:top w:w="0" w:type="dxa"/>
            <w:left w:w="0" w:type="dxa"/>
            <w:bottom w:w="0" w:type="dxa"/>
            <w:right w:w="0" w:type="dxa"/>
          </w:tblCellMar>
        </w:tblPrEx>
        <w:trPr>
          <w:trHeight w:val="1626" w:hRule="atLeast"/>
        </w:trPr>
        <w:tc>
          <w:tcPr>
            <w:tcW w:w="39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34.推进道德规范、诚信体系建设</w:t>
            </w:r>
          </w:p>
        </w:tc>
        <w:tc>
          <w:tcPr>
            <w:tcW w:w="98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在党委领导和有关部门指导下，以法律法规为依据，依靠群众因地制宜加强村规民约、市民公约建设，100%的社区修订或制定居民公约。建立健全监督和奖惩机制。指导群团组织、协会商会等加强行业规章、团体章程等建设，弘扬公序良俗。</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（2)对城市管理等领域严重失信主体开展联合惩戒工作。开展信用社区、 诚信居民、道德银行、时间银行等活动，增加守信红利、提高失信代价。</w:t>
            </w:r>
          </w:p>
        </w:tc>
        <w:tc>
          <w:tcPr>
            <w:tcW w:w="133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党建办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公共服务办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党政办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行政执法办</w:t>
            </w:r>
          </w:p>
        </w:tc>
      </w:tr>
      <w:tr>
        <w:tblPrEx>
          <w:tblCellMar>
            <w:top w:w="0" w:type="dxa"/>
            <w:left w:w="0" w:type="dxa"/>
            <w:bottom w:w="0" w:type="dxa"/>
            <w:right w:w="0" w:type="dxa"/>
          </w:tblCellMar>
        </w:tblPrEx>
        <w:trPr>
          <w:trHeight w:val="2336" w:hRule="atLeast"/>
        </w:trPr>
        <w:tc>
          <w:tcPr>
            <w:tcW w:w="399"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市</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域</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社</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会</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治</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理</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方</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式</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现</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代</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化</w:t>
            </w:r>
          </w:p>
        </w:tc>
        <w:tc>
          <w:tcPr>
            <w:tcW w:w="8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发挥自治基础作用</w:t>
            </w: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35.完善基层群众自治机制</w:t>
            </w:r>
          </w:p>
        </w:tc>
        <w:tc>
          <w:tcPr>
            <w:tcW w:w="98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明确基层自治权界，制定职能部门、街道（镇）在社区治理方面的权责清单，依法确定社区工作事项，建立社区（村）工作事项准入制度。加强基层群众性自治组织规范化建设，合理确定其管辖规模和范围。100%的居委会下设调解委员会、治安保卫委员会等下属委员会。街道（镇）、社区（村）加强住宅小区业主大会，业主委员会等自治组织建设。</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（2)大力开展民主法治示范社区建设。100%的社区建立居民代表会议、居民议恳谈、百姓议事、妇女议事等协商活动。</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（3)健全以职工代表大会为基本形式的企事业单位民主管理制度，探索企业职工参与管理的有效方式，保障职工群众知情权、参与权、表达权、监督权，维护职工合法权益。</w:t>
            </w:r>
          </w:p>
        </w:tc>
        <w:tc>
          <w:tcPr>
            <w:tcW w:w="133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公共服务办司法所</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派出所</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行政执法办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党政办</w:t>
            </w:r>
          </w:p>
        </w:tc>
      </w:tr>
      <w:tr>
        <w:tblPrEx>
          <w:tblCellMar>
            <w:top w:w="0" w:type="dxa"/>
            <w:left w:w="0" w:type="dxa"/>
            <w:bottom w:w="0" w:type="dxa"/>
            <w:right w:w="0" w:type="dxa"/>
          </w:tblCellMar>
        </w:tblPrEx>
        <w:trPr>
          <w:trHeight w:val="2441" w:hRule="atLeast"/>
        </w:trPr>
        <w:tc>
          <w:tcPr>
            <w:tcW w:w="399" w:type="dxa"/>
            <w:vMerge w:val="continue"/>
            <w:tcBorders>
              <w:left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发挥智治支撑建设</w:t>
            </w: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36.推进职能治理基础建设</w:t>
            </w:r>
          </w:p>
        </w:tc>
        <w:tc>
          <w:tcPr>
            <w:tcW w:w="98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（1)完善市域智能化建设制度。把市域社会治理要素数据化、治理数据标准化、推进社会治理多网融合等工作。</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2)进一步推进“雪亮工程”建设，加强公共安全视频监控建设，全面达到“四全”要求，运用物联网、5G、大数据等新技术提升重点单位、要害部位的技防设施建设水平，强化万物互联和数据融合，提高安全防范能力，在老旧小区改造和新建小区过程中，推进“智慧平安小区”等建设，提升群众安全感。推动信息技术与社区治理深度融合，构建设施智能、服务便捷、管理精细、环境宜居的智慧社区。</w:t>
            </w:r>
          </w:p>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（3)加强政法干部信息化、智能化等能力培养，完善应用人才队伍引进、培养、激励、管理机制，探索智能技术合作开发机制。</w:t>
            </w:r>
          </w:p>
        </w:tc>
        <w:tc>
          <w:tcPr>
            <w:tcW w:w="133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社会治理办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派出所</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党政办</w:t>
            </w:r>
          </w:p>
        </w:tc>
      </w:tr>
      <w:tr>
        <w:tblPrEx>
          <w:tblCellMar>
            <w:top w:w="0" w:type="dxa"/>
            <w:left w:w="0" w:type="dxa"/>
            <w:bottom w:w="0" w:type="dxa"/>
            <w:right w:w="0" w:type="dxa"/>
          </w:tblCellMar>
        </w:tblPrEx>
        <w:trPr>
          <w:trHeight w:val="1179" w:hRule="atLeast"/>
        </w:trPr>
        <w:tc>
          <w:tcPr>
            <w:tcW w:w="399" w:type="dxa"/>
            <w:vMerge w:val="continue"/>
            <w:tcBorders>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p>
        </w:tc>
        <w:tc>
          <w:tcPr>
            <w:tcW w:w="82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发挥智治支撑作用</w:t>
            </w: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37.推进智能治理深度应用</w:t>
            </w:r>
          </w:p>
        </w:tc>
        <w:tc>
          <w:tcPr>
            <w:tcW w:w="98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依托市域跨部门大数据中心平台，建设社会治理线上协同指挥通道，促进横向打通、纵向贯通、内外融通，提升街道、社区综治中心（综合服务管理平台）的实战效能，并向网格员等一线人员延伸，实现对各类事件实时监测、分流处置、跟踪问效。</w:t>
            </w:r>
          </w:p>
        </w:tc>
        <w:tc>
          <w:tcPr>
            <w:tcW w:w="133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社会治理办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派出所</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司法所</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党政办</w:t>
            </w:r>
          </w:p>
        </w:tc>
      </w:tr>
      <w:tr>
        <w:tblPrEx>
          <w:tblCellMar>
            <w:top w:w="0" w:type="dxa"/>
            <w:left w:w="0" w:type="dxa"/>
            <w:bottom w:w="0" w:type="dxa"/>
            <w:right w:w="0" w:type="dxa"/>
          </w:tblCellMar>
        </w:tblPrEx>
        <w:trPr>
          <w:trHeight w:val="1303" w:hRule="atLeast"/>
        </w:trPr>
        <w:tc>
          <w:tcPr>
            <w:tcW w:w="399"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8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c>
          <w:tcPr>
            <w:tcW w:w="1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38.推进智能安全风险防控</w:t>
            </w:r>
          </w:p>
        </w:tc>
        <w:tc>
          <w:tcPr>
            <w:tcW w:w="98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spacing w:after="220" w:afterAutospacing="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（1)加强对社会治理领域信息化产品开发与应用的全流程监管，建立安全防控体系，加强对新技术可能带来的风险深入研判，深入研究智能治理有关法规政策和标准体系，提升防范应对能力，促进健康发展。</w:t>
            </w:r>
          </w:p>
        </w:tc>
        <w:tc>
          <w:tcPr>
            <w:tcW w:w="1334"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派出所</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党政办</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司法所</w:t>
            </w:r>
          </w:p>
          <w:p>
            <w:pPr>
              <w:keepNext w:val="0"/>
              <w:keepLines w:val="0"/>
              <w:widowControl/>
              <w:suppressLineNumbers w:val="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行政执法办</w:t>
            </w:r>
          </w:p>
        </w:tc>
      </w:tr>
    </w:tbl>
    <w:p>
      <w:pPr>
        <w:spacing w:line="520" w:lineRule="exact"/>
        <w:rPr>
          <w:rFonts w:hint="eastAsia" w:ascii="黑体" w:hAnsi="黑体" w:eastAsia="黑体"/>
          <w:sz w:val="32"/>
          <w:szCs w:val="32"/>
          <w:lang w:eastAsia="zh-CN"/>
        </w:rPr>
      </w:pPr>
      <w:r>
        <w:rPr>
          <w:rFonts w:hint="eastAsia" w:ascii="黑体" w:hAnsi="黑体" w:eastAsia="黑体"/>
          <w:sz w:val="32"/>
          <w:szCs w:val="32"/>
        </w:rPr>
        <w:t>附件2</w:t>
      </w:r>
      <w:r>
        <w:rPr>
          <w:rFonts w:hint="eastAsia" w:ascii="黑体" w:hAnsi="黑体" w:eastAsia="黑体"/>
          <w:sz w:val="32"/>
          <w:szCs w:val="32"/>
          <w:lang w:eastAsia="zh-CN"/>
        </w:rPr>
        <w:t>：</w:t>
      </w:r>
    </w:p>
    <w:p>
      <w:pPr>
        <w:spacing w:line="520" w:lineRule="exact"/>
        <w:rPr>
          <w:rFonts w:ascii="黑体" w:hAnsi="黑体" w:eastAsia="黑体"/>
          <w:szCs w:val="36"/>
        </w:rPr>
      </w:pPr>
    </w:p>
    <w:p>
      <w:pPr>
        <w:spacing w:line="520" w:lineRule="exact"/>
        <w:jc w:val="center"/>
        <w:rPr>
          <w:rFonts w:hint="eastAsia" w:ascii="方正小标宋简体" w:hAnsi="宋体" w:eastAsia="方正小标宋简体"/>
          <w:sz w:val="44"/>
          <w:szCs w:val="48"/>
        </w:rPr>
      </w:pPr>
      <w:r>
        <w:rPr>
          <w:rFonts w:hint="eastAsia" w:ascii="方正小标宋简体" w:hAnsi="宋体" w:eastAsia="方正小标宋简体"/>
          <w:sz w:val="44"/>
          <w:szCs w:val="48"/>
          <w:lang w:val="en-US" w:eastAsia="zh-CN"/>
        </w:rPr>
        <w:t>西湖区南浦街道</w:t>
      </w:r>
      <w:r>
        <w:rPr>
          <w:rFonts w:hint="eastAsia" w:ascii="方正小标宋简体" w:hAnsi="宋体" w:eastAsia="方正小标宋简体"/>
          <w:sz w:val="44"/>
          <w:szCs w:val="48"/>
        </w:rPr>
        <w:t>市域社会治理现代化工作负面清单</w:t>
      </w:r>
    </w:p>
    <w:p>
      <w:pPr>
        <w:spacing w:line="520" w:lineRule="exact"/>
        <w:jc w:val="center"/>
        <w:rPr>
          <w:rFonts w:hint="eastAsia" w:ascii="方正小标宋简体" w:hAnsi="宋体" w:eastAsia="方正小标宋简体"/>
          <w:sz w:val="48"/>
          <w:szCs w:val="48"/>
        </w:rPr>
      </w:pPr>
    </w:p>
    <w:tbl>
      <w:tblPr>
        <w:tblStyle w:val="4"/>
        <w:tblW w:w="13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7371"/>
        <w:gridCol w:w="3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2" w:hRule="atLeast"/>
          <w:tblHeader/>
          <w:jc w:val="center"/>
        </w:trPr>
        <w:tc>
          <w:tcPr>
            <w:tcW w:w="2518" w:type="dxa"/>
            <w:noWrap w:val="0"/>
            <w:vAlign w:val="center"/>
          </w:tcPr>
          <w:p>
            <w:pPr>
              <w:spacing w:line="520" w:lineRule="exact"/>
              <w:jc w:val="center"/>
              <w:rPr>
                <w:rFonts w:ascii="黑体" w:hAnsi="黑体" w:eastAsia="黑体"/>
                <w:sz w:val="28"/>
                <w:szCs w:val="28"/>
              </w:rPr>
            </w:pPr>
            <w:r>
              <w:rPr>
                <w:rFonts w:ascii="黑体" w:hAnsi="黑体" w:eastAsia="黑体"/>
                <w:sz w:val="28"/>
                <w:szCs w:val="28"/>
              </w:rPr>
              <w:t>项目</w:t>
            </w:r>
          </w:p>
        </w:tc>
        <w:tc>
          <w:tcPr>
            <w:tcW w:w="7371" w:type="dxa"/>
            <w:noWrap w:val="0"/>
            <w:vAlign w:val="center"/>
          </w:tcPr>
          <w:p>
            <w:pPr>
              <w:spacing w:line="520" w:lineRule="exact"/>
              <w:jc w:val="center"/>
              <w:rPr>
                <w:rFonts w:ascii="黑体" w:hAnsi="黑体" w:eastAsia="黑体"/>
                <w:sz w:val="28"/>
                <w:szCs w:val="28"/>
              </w:rPr>
            </w:pPr>
            <w:r>
              <w:rPr>
                <w:rFonts w:hint="eastAsia" w:ascii="黑体" w:hAnsi="黑体" w:eastAsia="黑体"/>
                <w:sz w:val="28"/>
                <w:szCs w:val="28"/>
              </w:rPr>
              <w:t>工作</w:t>
            </w:r>
            <w:r>
              <w:rPr>
                <w:rFonts w:ascii="黑体" w:hAnsi="黑体" w:eastAsia="黑体"/>
                <w:sz w:val="28"/>
                <w:szCs w:val="28"/>
              </w:rPr>
              <w:t>内容</w:t>
            </w:r>
          </w:p>
        </w:tc>
        <w:tc>
          <w:tcPr>
            <w:tcW w:w="3803" w:type="dxa"/>
            <w:noWrap w:val="0"/>
            <w:vAlign w:val="center"/>
          </w:tcPr>
          <w:p>
            <w:pPr>
              <w:spacing w:line="520" w:lineRule="exact"/>
              <w:jc w:val="center"/>
              <w:rPr>
                <w:rFonts w:ascii="黑体" w:hAnsi="黑体" w:eastAsia="黑体"/>
                <w:sz w:val="28"/>
                <w:szCs w:val="28"/>
              </w:rPr>
            </w:pPr>
            <w:r>
              <w:rPr>
                <w:rFonts w:hint="eastAsia" w:ascii="黑体" w:hAnsi="黑体" w:eastAsia="黑体"/>
                <w:sz w:val="28"/>
                <w:szCs w:val="28"/>
              </w:rPr>
              <w:t>基本要求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 w:hRule="atLeast"/>
          <w:jc w:val="center"/>
        </w:trPr>
        <w:tc>
          <w:tcPr>
            <w:tcW w:w="2518" w:type="dxa"/>
            <w:vMerge w:val="restart"/>
            <w:noWrap w:val="0"/>
            <w:vAlign w:val="center"/>
          </w:tcPr>
          <w:p>
            <w:pPr>
              <w:spacing w:line="520" w:lineRule="exact"/>
              <w:jc w:val="center"/>
              <w:rPr>
                <w:rFonts w:ascii="黑体" w:hAnsi="黑体" w:eastAsia="黑体"/>
                <w:sz w:val="28"/>
                <w:szCs w:val="28"/>
              </w:rPr>
            </w:pPr>
            <w:r>
              <w:rPr>
                <w:rFonts w:ascii="黑体" w:hAnsi="黑体" w:eastAsia="黑体" w:cs="宋体"/>
                <w:color w:val="000000"/>
                <w:kern w:val="0"/>
                <w:sz w:val="28"/>
                <w:szCs w:val="28"/>
              </w:rPr>
              <w:t>政治安全</w:t>
            </w:r>
          </w:p>
        </w:tc>
        <w:tc>
          <w:tcPr>
            <w:tcW w:w="7371" w:type="dxa"/>
            <w:noWrap w:val="0"/>
            <w:vAlign w:val="center"/>
          </w:tcPr>
          <w:p>
            <w:pPr>
              <w:spacing w:line="520" w:lineRule="exact"/>
              <w:rPr>
                <w:rFonts w:hint="eastAsia" w:ascii="仿宋_GB2312" w:hAnsi="仿宋"/>
                <w:sz w:val="28"/>
                <w:szCs w:val="28"/>
              </w:rPr>
            </w:pPr>
            <w:r>
              <w:rPr>
                <w:rFonts w:hint="eastAsia" w:ascii="仿宋_GB2312" w:hAnsi="仿宋" w:cs="宋体"/>
                <w:color w:val="000000"/>
                <w:kern w:val="0"/>
                <w:sz w:val="28"/>
                <w:szCs w:val="28"/>
              </w:rPr>
              <w:t>1．危害国家政治安全和社会大局稳定的重大案事件</w:t>
            </w:r>
          </w:p>
        </w:tc>
        <w:tc>
          <w:tcPr>
            <w:tcW w:w="3803" w:type="dxa"/>
            <w:noWrap w:val="0"/>
            <w:vAlign w:val="center"/>
          </w:tcPr>
          <w:p>
            <w:pPr>
              <w:spacing w:line="520" w:lineRule="exact"/>
              <w:rPr>
                <w:rFonts w:hint="eastAsia" w:ascii="仿宋_GB2312" w:hAnsi="仿宋"/>
                <w:sz w:val="28"/>
                <w:szCs w:val="28"/>
              </w:rPr>
            </w:pPr>
            <w:r>
              <w:rPr>
                <w:rFonts w:hint="eastAsia" w:ascii="仿宋_GB2312" w:hAnsi="仿宋"/>
                <w:sz w:val="28"/>
                <w:szCs w:val="28"/>
              </w:rPr>
              <w:t>不发生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 w:hRule="atLeast"/>
          <w:jc w:val="center"/>
        </w:trPr>
        <w:tc>
          <w:tcPr>
            <w:tcW w:w="2518" w:type="dxa"/>
            <w:vMerge w:val="continue"/>
            <w:noWrap w:val="0"/>
            <w:vAlign w:val="center"/>
          </w:tcPr>
          <w:p>
            <w:pPr>
              <w:spacing w:line="520" w:lineRule="exact"/>
              <w:jc w:val="center"/>
              <w:rPr>
                <w:rFonts w:ascii="黑体" w:hAnsi="黑体" w:eastAsia="黑体"/>
                <w:sz w:val="28"/>
                <w:szCs w:val="28"/>
              </w:rPr>
            </w:pPr>
          </w:p>
        </w:tc>
        <w:tc>
          <w:tcPr>
            <w:tcW w:w="7371" w:type="dxa"/>
            <w:noWrap w:val="0"/>
            <w:vAlign w:val="center"/>
          </w:tcPr>
          <w:p>
            <w:pPr>
              <w:spacing w:line="520" w:lineRule="exact"/>
              <w:rPr>
                <w:rFonts w:hint="eastAsia" w:ascii="仿宋_GB2312" w:hAnsi="仿宋"/>
                <w:sz w:val="28"/>
                <w:szCs w:val="28"/>
              </w:rPr>
            </w:pPr>
            <w:r>
              <w:rPr>
                <w:rFonts w:hint="eastAsia" w:ascii="仿宋_GB2312" w:hAnsi="仿宋" w:cs="宋体"/>
                <w:color w:val="000000"/>
                <w:kern w:val="0"/>
                <w:sz w:val="28"/>
                <w:szCs w:val="28"/>
              </w:rPr>
              <w:t>2．宗教极端活动、民族分裂活动和暴力恐怖活动</w:t>
            </w:r>
          </w:p>
        </w:tc>
        <w:tc>
          <w:tcPr>
            <w:tcW w:w="3803" w:type="dxa"/>
            <w:noWrap w:val="0"/>
            <w:vAlign w:val="center"/>
          </w:tcPr>
          <w:p>
            <w:pPr>
              <w:spacing w:line="520" w:lineRule="exact"/>
              <w:rPr>
                <w:rFonts w:hint="eastAsia" w:ascii="仿宋_GB2312" w:hAnsi="仿宋"/>
                <w:sz w:val="28"/>
                <w:szCs w:val="28"/>
              </w:rPr>
            </w:pPr>
            <w:r>
              <w:rPr>
                <w:rFonts w:hint="eastAsia" w:ascii="仿宋_GB2312" w:hAnsi="仿宋"/>
                <w:sz w:val="28"/>
                <w:szCs w:val="28"/>
              </w:rPr>
              <w:t>不发生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 w:hRule="atLeast"/>
          <w:jc w:val="center"/>
        </w:trPr>
        <w:tc>
          <w:tcPr>
            <w:tcW w:w="2518" w:type="dxa"/>
            <w:vMerge w:val="continue"/>
            <w:noWrap w:val="0"/>
            <w:vAlign w:val="center"/>
          </w:tcPr>
          <w:p>
            <w:pPr>
              <w:spacing w:line="520" w:lineRule="exact"/>
              <w:jc w:val="center"/>
              <w:rPr>
                <w:rFonts w:ascii="黑体" w:hAnsi="黑体" w:eastAsia="黑体"/>
                <w:sz w:val="28"/>
                <w:szCs w:val="28"/>
              </w:rPr>
            </w:pPr>
          </w:p>
        </w:tc>
        <w:tc>
          <w:tcPr>
            <w:tcW w:w="7371" w:type="dxa"/>
            <w:noWrap w:val="0"/>
            <w:vAlign w:val="center"/>
          </w:tcPr>
          <w:p>
            <w:pPr>
              <w:spacing w:line="520" w:lineRule="exact"/>
              <w:rPr>
                <w:rFonts w:hint="eastAsia" w:ascii="仿宋_GB2312" w:hAnsi="仿宋" w:cs="宋体"/>
                <w:color w:val="000000"/>
                <w:kern w:val="0"/>
                <w:sz w:val="28"/>
                <w:szCs w:val="28"/>
              </w:rPr>
            </w:pPr>
            <w:r>
              <w:rPr>
                <w:rFonts w:hint="eastAsia" w:ascii="仿宋_GB2312" w:hAnsi="仿宋" w:cs="宋体"/>
                <w:color w:val="000000"/>
                <w:kern w:val="0"/>
                <w:sz w:val="28"/>
                <w:szCs w:val="28"/>
              </w:rPr>
              <w:t>3．具有重大影响的邪教滋事闹事事件</w:t>
            </w:r>
          </w:p>
        </w:tc>
        <w:tc>
          <w:tcPr>
            <w:tcW w:w="3803" w:type="dxa"/>
            <w:noWrap w:val="0"/>
            <w:vAlign w:val="center"/>
          </w:tcPr>
          <w:p>
            <w:pPr>
              <w:spacing w:line="520" w:lineRule="exact"/>
              <w:rPr>
                <w:rFonts w:hint="eastAsia" w:ascii="仿宋_GB2312" w:hAnsi="仿宋"/>
                <w:sz w:val="28"/>
                <w:szCs w:val="28"/>
              </w:rPr>
            </w:pPr>
            <w:r>
              <w:rPr>
                <w:rFonts w:hint="eastAsia" w:ascii="仿宋_GB2312" w:hAnsi="仿宋"/>
                <w:sz w:val="28"/>
                <w:szCs w:val="28"/>
              </w:rPr>
              <w:t>不发生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 w:hRule="atLeast"/>
          <w:jc w:val="center"/>
        </w:trPr>
        <w:tc>
          <w:tcPr>
            <w:tcW w:w="2518" w:type="dxa"/>
            <w:vMerge w:val="restart"/>
            <w:noWrap w:val="0"/>
            <w:vAlign w:val="center"/>
          </w:tcPr>
          <w:p>
            <w:pPr>
              <w:spacing w:line="520" w:lineRule="exact"/>
              <w:jc w:val="center"/>
              <w:rPr>
                <w:rFonts w:ascii="黑体" w:hAnsi="黑体" w:eastAsia="黑体"/>
                <w:sz w:val="28"/>
                <w:szCs w:val="28"/>
              </w:rPr>
            </w:pPr>
            <w:r>
              <w:rPr>
                <w:rFonts w:ascii="黑体" w:hAnsi="黑体" w:eastAsia="黑体" w:cs="宋体"/>
                <w:color w:val="000000"/>
                <w:kern w:val="0"/>
                <w:sz w:val="28"/>
                <w:szCs w:val="28"/>
              </w:rPr>
              <w:t>社会治安</w:t>
            </w:r>
          </w:p>
        </w:tc>
        <w:tc>
          <w:tcPr>
            <w:tcW w:w="7371" w:type="dxa"/>
            <w:noWrap w:val="0"/>
            <w:vAlign w:val="center"/>
          </w:tcPr>
          <w:p>
            <w:pPr>
              <w:spacing w:line="520" w:lineRule="exact"/>
              <w:rPr>
                <w:rFonts w:hint="eastAsia" w:ascii="仿宋_GB2312" w:hAnsi="仿宋" w:cs="宋体"/>
                <w:color w:val="000000"/>
                <w:kern w:val="0"/>
                <w:sz w:val="28"/>
                <w:szCs w:val="28"/>
              </w:rPr>
            </w:pPr>
            <w:r>
              <w:rPr>
                <w:rFonts w:hint="eastAsia" w:ascii="仿宋_GB2312" w:hAnsi="仿宋" w:cs="宋体"/>
                <w:color w:val="000000"/>
                <w:kern w:val="0"/>
                <w:sz w:val="28"/>
                <w:szCs w:val="28"/>
              </w:rPr>
              <w:t>1．十万人命案发案率</w:t>
            </w:r>
          </w:p>
        </w:tc>
        <w:tc>
          <w:tcPr>
            <w:tcW w:w="3803" w:type="dxa"/>
            <w:noWrap w:val="0"/>
            <w:vAlign w:val="bottom"/>
          </w:tcPr>
          <w:p>
            <w:pPr>
              <w:widowControl/>
              <w:shd w:val="clear" w:color="auto" w:fill="FFFFFF"/>
              <w:spacing w:line="520" w:lineRule="exact"/>
              <w:jc w:val="left"/>
              <w:outlineLvl w:val="0"/>
              <w:rPr>
                <w:rFonts w:hint="eastAsia" w:ascii="仿宋_GB2312" w:hAnsi="仿宋" w:cs="宋体"/>
                <w:color w:val="000000"/>
                <w:kern w:val="0"/>
                <w:sz w:val="28"/>
                <w:szCs w:val="28"/>
              </w:rPr>
            </w:pPr>
            <w:r>
              <w:rPr>
                <w:rFonts w:hint="eastAsia" w:ascii="仿宋_GB2312" w:hAnsi="仿宋" w:cs="宋体"/>
                <w:color w:val="333333"/>
                <w:kern w:val="36"/>
                <w:sz w:val="28"/>
                <w:szCs w:val="28"/>
              </w:rPr>
              <w:t>≤</w:t>
            </w:r>
            <w:r>
              <w:rPr>
                <w:rFonts w:hint="eastAsia" w:ascii="仿宋_GB2312" w:hAnsi="仿宋" w:cs="宋体"/>
                <w:color w:val="000000"/>
                <w:kern w:val="0"/>
                <w:sz w:val="28"/>
                <w:szCs w:val="28"/>
              </w:rPr>
              <w:t>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 w:hRule="atLeast"/>
          <w:jc w:val="center"/>
        </w:trPr>
        <w:tc>
          <w:tcPr>
            <w:tcW w:w="2518" w:type="dxa"/>
            <w:vMerge w:val="continue"/>
            <w:noWrap w:val="0"/>
            <w:vAlign w:val="center"/>
          </w:tcPr>
          <w:p>
            <w:pPr>
              <w:spacing w:line="520" w:lineRule="exact"/>
              <w:jc w:val="center"/>
              <w:rPr>
                <w:rFonts w:ascii="黑体" w:hAnsi="黑体" w:eastAsia="黑体"/>
                <w:sz w:val="28"/>
                <w:szCs w:val="28"/>
              </w:rPr>
            </w:pPr>
          </w:p>
        </w:tc>
        <w:tc>
          <w:tcPr>
            <w:tcW w:w="7371" w:type="dxa"/>
            <w:noWrap w:val="0"/>
            <w:vAlign w:val="center"/>
          </w:tcPr>
          <w:p>
            <w:pPr>
              <w:spacing w:line="520" w:lineRule="exact"/>
              <w:rPr>
                <w:rFonts w:hint="eastAsia" w:ascii="仿宋_GB2312" w:hAnsi="仿宋" w:cs="宋体"/>
                <w:color w:val="000000"/>
                <w:kern w:val="0"/>
                <w:sz w:val="28"/>
                <w:szCs w:val="28"/>
              </w:rPr>
            </w:pPr>
            <w:r>
              <w:rPr>
                <w:rFonts w:hint="eastAsia" w:ascii="仿宋_GB2312" w:hAnsi="仿宋" w:cs="宋体"/>
                <w:color w:val="000000"/>
                <w:kern w:val="0"/>
                <w:sz w:val="28"/>
                <w:szCs w:val="28"/>
              </w:rPr>
              <w:t>2．特别重大、重大刑事案件</w:t>
            </w:r>
          </w:p>
        </w:tc>
        <w:tc>
          <w:tcPr>
            <w:tcW w:w="3803" w:type="dxa"/>
            <w:noWrap w:val="0"/>
            <w:vAlign w:val="center"/>
          </w:tcPr>
          <w:p>
            <w:pPr>
              <w:spacing w:line="520" w:lineRule="exact"/>
              <w:rPr>
                <w:rFonts w:hint="eastAsia" w:ascii="仿宋_GB2312" w:hAnsi="仿宋"/>
                <w:sz w:val="28"/>
                <w:szCs w:val="28"/>
              </w:rPr>
            </w:pPr>
            <w:r>
              <w:rPr>
                <w:rFonts w:hint="eastAsia" w:ascii="仿宋_GB2312" w:hAnsi="仿宋"/>
                <w:sz w:val="28"/>
                <w:szCs w:val="28"/>
              </w:rPr>
              <w:t>不发生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 w:hRule="atLeast"/>
          <w:jc w:val="center"/>
        </w:trPr>
        <w:tc>
          <w:tcPr>
            <w:tcW w:w="2518" w:type="dxa"/>
            <w:vMerge w:val="continue"/>
            <w:noWrap w:val="0"/>
            <w:vAlign w:val="center"/>
          </w:tcPr>
          <w:p>
            <w:pPr>
              <w:spacing w:line="520" w:lineRule="exact"/>
              <w:jc w:val="center"/>
              <w:rPr>
                <w:rFonts w:ascii="黑体" w:hAnsi="黑体" w:eastAsia="黑体"/>
                <w:sz w:val="28"/>
                <w:szCs w:val="28"/>
              </w:rPr>
            </w:pPr>
          </w:p>
        </w:tc>
        <w:tc>
          <w:tcPr>
            <w:tcW w:w="7371" w:type="dxa"/>
            <w:noWrap w:val="0"/>
            <w:vAlign w:val="center"/>
          </w:tcPr>
          <w:p>
            <w:pPr>
              <w:spacing w:line="520" w:lineRule="exact"/>
              <w:rPr>
                <w:rFonts w:hint="eastAsia" w:ascii="仿宋_GB2312" w:hAnsi="仿宋" w:cs="宋体"/>
                <w:color w:val="000000"/>
                <w:kern w:val="0"/>
                <w:sz w:val="28"/>
                <w:szCs w:val="28"/>
              </w:rPr>
            </w:pPr>
            <w:r>
              <w:rPr>
                <w:rFonts w:hint="eastAsia" w:ascii="仿宋_GB2312" w:hAnsi="仿宋" w:cs="宋体"/>
                <w:color w:val="000000"/>
                <w:kern w:val="0"/>
                <w:sz w:val="28"/>
                <w:szCs w:val="28"/>
              </w:rPr>
              <w:t>3．一案死亡3人以上命案</w:t>
            </w:r>
          </w:p>
        </w:tc>
        <w:tc>
          <w:tcPr>
            <w:tcW w:w="3803" w:type="dxa"/>
            <w:noWrap w:val="0"/>
            <w:vAlign w:val="center"/>
          </w:tcPr>
          <w:p>
            <w:pPr>
              <w:spacing w:line="520" w:lineRule="exact"/>
              <w:rPr>
                <w:rFonts w:hint="eastAsia" w:ascii="仿宋_GB2312" w:hAnsi="仿宋"/>
                <w:sz w:val="28"/>
                <w:szCs w:val="28"/>
              </w:rPr>
            </w:pPr>
            <w:r>
              <w:rPr>
                <w:rFonts w:hint="eastAsia" w:ascii="仿宋_GB2312" w:hAnsi="仿宋"/>
                <w:sz w:val="28"/>
                <w:szCs w:val="28"/>
              </w:rPr>
              <w:t>不发生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 w:hRule="atLeast"/>
          <w:jc w:val="center"/>
        </w:trPr>
        <w:tc>
          <w:tcPr>
            <w:tcW w:w="2518" w:type="dxa"/>
            <w:vMerge w:val="restart"/>
            <w:noWrap w:val="0"/>
            <w:vAlign w:val="center"/>
          </w:tcPr>
          <w:p>
            <w:pPr>
              <w:spacing w:line="520" w:lineRule="exact"/>
              <w:jc w:val="center"/>
              <w:rPr>
                <w:rFonts w:ascii="黑体" w:hAnsi="黑体" w:eastAsia="黑体"/>
                <w:sz w:val="28"/>
                <w:szCs w:val="28"/>
              </w:rPr>
            </w:pPr>
            <w:r>
              <w:rPr>
                <w:rFonts w:hint="eastAsia" w:ascii="黑体" w:hAnsi="黑体" w:eastAsia="黑体"/>
                <w:sz w:val="28"/>
                <w:szCs w:val="28"/>
              </w:rPr>
              <w:t>矛盾化解</w:t>
            </w:r>
          </w:p>
        </w:tc>
        <w:tc>
          <w:tcPr>
            <w:tcW w:w="7371" w:type="dxa"/>
            <w:noWrap w:val="0"/>
            <w:vAlign w:val="center"/>
          </w:tcPr>
          <w:p>
            <w:pPr>
              <w:spacing w:line="520" w:lineRule="exact"/>
              <w:rPr>
                <w:rFonts w:hint="eastAsia" w:ascii="仿宋_GB2312" w:hAnsi="仿宋" w:cs="宋体"/>
                <w:color w:val="000000"/>
                <w:kern w:val="0"/>
                <w:sz w:val="28"/>
                <w:szCs w:val="28"/>
              </w:rPr>
            </w:pPr>
            <w:r>
              <w:rPr>
                <w:rFonts w:hint="eastAsia" w:ascii="仿宋_GB2312" w:hAnsi="仿宋" w:cs="宋体"/>
                <w:color w:val="000000"/>
                <w:kern w:val="0"/>
                <w:sz w:val="28"/>
                <w:szCs w:val="28"/>
              </w:rPr>
              <w:t>1．特别重大、重大群体性事件</w:t>
            </w:r>
          </w:p>
        </w:tc>
        <w:tc>
          <w:tcPr>
            <w:tcW w:w="3803" w:type="dxa"/>
            <w:noWrap w:val="0"/>
            <w:vAlign w:val="center"/>
          </w:tcPr>
          <w:p>
            <w:pPr>
              <w:spacing w:line="520" w:lineRule="exact"/>
              <w:rPr>
                <w:rFonts w:hint="eastAsia" w:ascii="仿宋_GB2312" w:hAnsi="仿宋"/>
                <w:sz w:val="28"/>
                <w:szCs w:val="28"/>
              </w:rPr>
            </w:pPr>
            <w:r>
              <w:rPr>
                <w:rFonts w:hint="eastAsia" w:ascii="仿宋_GB2312" w:hAnsi="仿宋"/>
                <w:sz w:val="28"/>
                <w:szCs w:val="28"/>
              </w:rPr>
              <w:t>不发生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 w:hRule="atLeast"/>
          <w:jc w:val="center"/>
        </w:trPr>
        <w:tc>
          <w:tcPr>
            <w:tcW w:w="2518" w:type="dxa"/>
            <w:vMerge w:val="continue"/>
            <w:noWrap w:val="0"/>
            <w:vAlign w:val="center"/>
          </w:tcPr>
          <w:p>
            <w:pPr>
              <w:spacing w:line="520" w:lineRule="exact"/>
              <w:jc w:val="center"/>
              <w:rPr>
                <w:rFonts w:ascii="黑体" w:hAnsi="黑体" w:eastAsia="黑体"/>
                <w:sz w:val="28"/>
                <w:szCs w:val="28"/>
              </w:rPr>
            </w:pPr>
          </w:p>
        </w:tc>
        <w:tc>
          <w:tcPr>
            <w:tcW w:w="7371" w:type="dxa"/>
            <w:noWrap w:val="0"/>
            <w:vAlign w:val="center"/>
          </w:tcPr>
          <w:p>
            <w:pPr>
              <w:spacing w:line="520" w:lineRule="exact"/>
              <w:rPr>
                <w:rFonts w:hint="eastAsia" w:ascii="仿宋_GB2312" w:hAnsi="仿宋" w:cs="宋体"/>
                <w:color w:val="000000"/>
                <w:kern w:val="0"/>
                <w:sz w:val="28"/>
                <w:szCs w:val="28"/>
              </w:rPr>
            </w:pPr>
            <w:r>
              <w:rPr>
                <w:rFonts w:hint="eastAsia" w:ascii="仿宋_GB2312" w:hAnsi="仿宋" w:cs="宋体"/>
                <w:color w:val="000000"/>
                <w:kern w:val="0"/>
                <w:sz w:val="28"/>
                <w:szCs w:val="28"/>
              </w:rPr>
              <w:t>2．具有重大负面影响的舆情事件</w:t>
            </w:r>
          </w:p>
        </w:tc>
        <w:tc>
          <w:tcPr>
            <w:tcW w:w="3803" w:type="dxa"/>
            <w:noWrap w:val="0"/>
            <w:vAlign w:val="center"/>
          </w:tcPr>
          <w:p>
            <w:pPr>
              <w:spacing w:line="520" w:lineRule="exact"/>
              <w:rPr>
                <w:rFonts w:hint="eastAsia" w:ascii="仿宋_GB2312" w:hAnsi="仿宋"/>
                <w:sz w:val="28"/>
                <w:szCs w:val="28"/>
              </w:rPr>
            </w:pPr>
            <w:r>
              <w:rPr>
                <w:rFonts w:hint="eastAsia" w:ascii="仿宋_GB2312" w:hAnsi="仿宋"/>
                <w:sz w:val="28"/>
                <w:szCs w:val="28"/>
              </w:rPr>
              <w:t>不发生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 w:hRule="atLeast"/>
          <w:jc w:val="center"/>
        </w:trPr>
        <w:tc>
          <w:tcPr>
            <w:tcW w:w="2518" w:type="dxa"/>
            <w:vMerge w:val="restart"/>
            <w:noWrap w:val="0"/>
            <w:vAlign w:val="center"/>
          </w:tcPr>
          <w:p>
            <w:pPr>
              <w:spacing w:line="520" w:lineRule="exact"/>
              <w:jc w:val="center"/>
              <w:rPr>
                <w:rFonts w:ascii="黑体" w:hAnsi="黑体" w:eastAsia="黑体"/>
                <w:sz w:val="28"/>
                <w:szCs w:val="28"/>
              </w:rPr>
            </w:pPr>
            <w:r>
              <w:rPr>
                <w:rFonts w:hint="eastAsia" w:ascii="黑体" w:hAnsi="黑体" w:eastAsia="黑体"/>
                <w:sz w:val="28"/>
                <w:szCs w:val="28"/>
              </w:rPr>
              <w:t>公共安全</w:t>
            </w:r>
          </w:p>
        </w:tc>
        <w:tc>
          <w:tcPr>
            <w:tcW w:w="7371" w:type="dxa"/>
            <w:noWrap w:val="0"/>
            <w:vAlign w:val="bottom"/>
          </w:tcPr>
          <w:p>
            <w:pPr>
              <w:widowControl/>
              <w:spacing w:line="520" w:lineRule="exact"/>
              <w:jc w:val="left"/>
              <w:rPr>
                <w:rFonts w:hint="eastAsia" w:ascii="仿宋_GB2312" w:hAnsi="仿宋" w:cs="宋体"/>
                <w:color w:val="000000"/>
                <w:kern w:val="0"/>
                <w:sz w:val="28"/>
                <w:szCs w:val="28"/>
              </w:rPr>
            </w:pPr>
            <w:r>
              <w:rPr>
                <w:rFonts w:hint="eastAsia" w:ascii="仿宋_GB2312" w:hAnsi="仿宋" w:cs="宋体"/>
                <w:color w:val="000000"/>
                <w:kern w:val="0"/>
                <w:sz w:val="28"/>
                <w:szCs w:val="28"/>
              </w:rPr>
              <w:t>1．特别重大、重大安全事故</w:t>
            </w:r>
          </w:p>
        </w:tc>
        <w:tc>
          <w:tcPr>
            <w:tcW w:w="3803" w:type="dxa"/>
            <w:noWrap w:val="0"/>
            <w:vAlign w:val="center"/>
          </w:tcPr>
          <w:p>
            <w:pPr>
              <w:spacing w:line="520" w:lineRule="exact"/>
              <w:rPr>
                <w:rFonts w:hint="eastAsia" w:ascii="仿宋_GB2312" w:hAnsi="仿宋"/>
                <w:sz w:val="28"/>
                <w:szCs w:val="28"/>
              </w:rPr>
            </w:pPr>
            <w:r>
              <w:rPr>
                <w:rFonts w:hint="eastAsia" w:ascii="仿宋_GB2312" w:hAnsi="仿宋"/>
                <w:sz w:val="28"/>
                <w:szCs w:val="28"/>
              </w:rPr>
              <w:t>不发生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 w:hRule="atLeast"/>
          <w:jc w:val="center"/>
        </w:trPr>
        <w:tc>
          <w:tcPr>
            <w:tcW w:w="2518" w:type="dxa"/>
            <w:vMerge w:val="continue"/>
            <w:noWrap w:val="0"/>
            <w:vAlign w:val="center"/>
          </w:tcPr>
          <w:p>
            <w:pPr>
              <w:spacing w:line="520" w:lineRule="exact"/>
              <w:rPr>
                <w:rFonts w:ascii="黑体" w:hAnsi="黑体" w:eastAsia="黑体"/>
                <w:sz w:val="28"/>
                <w:szCs w:val="28"/>
              </w:rPr>
            </w:pPr>
          </w:p>
        </w:tc>
        <w:tc>
          <w:tcPr>
            <w:tcW w:w="7371" w:type="dxa"/>
            <w:noWrap w:val="0"/>
            <w:vAlign w:val="bottom"/>
          </w:tcPr>
          <w:p>
            <w:pPr>
              <w:widowControl/>
              <w:spacing w:line="520" w:lineRule="exact"/>
              <w:jc w:val="left"/>
              <w:rPr>
                <w:rFonts w:hint="eastAsia" w:ascii="仿宋_GB2312" w:hAnsi="仿宋" w:cs="宋体"/>
                <w:color w:val="000000"/>
                <w:kern w:val="0"/>
                <w:sz w:val="28"/>
                <w:szCs w:val="28"/>
              </w:rPr>
            </w:pPr>
            <w:r>
              <w:rPr>
                <w:rFonts w:hint="eastAsia" w:ascii="仿宋_GB2312" w:hAnsi="仿宋" w:cs="宋体"/>
                <w:color w:val="000000"/>
                <w:kern w:val="0"/>
                <w:sz w:val="28"/>
                <w:szCs w:val="28"/>
              </w:rPr>
              <w:t xml:space="preserve">2．特别重大、重大环境污染和生态破坏事故 </w:t>
            </w:r>
          </w:p>
        </w:tc>
        <w:tc>
          <w:tcPr>
            <w:tcW w:w="3803" w:type="dxa"/>
            <w:noWrap w:val="0"/>
            <w:vAlign w:val="center"/>
          </w:tcPr>
          <w:p>
            <w:pPr>
              <w:spacing w:line="520" w:lineRule="exact"/>
              <w:rPr>
                <w:rFonts w:hint="eastAsia" w:ascii="仿宋_GB2312" w:hAnsi="仿宋"/>
                <w:sz w:val="28"/>
                <w:szCs w:val="28"/>
              </w:rPr>
            </w:pPr>
            <w:r>
              <w:rPr>
                <w:rFonts w:hint="eastAsia" w:ascii="仿宋_GB2312" w:hAnsi="仿宋"/>
                <w:sz w:val="28"/>
                <w:szCs w:val="28"/>
              </w:rPr>
              <w:t>不发生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 w:hRule="atLeast"/>
          <w:jc w:val="center"/>
        </w:trPr>
        <w:tc>
          <w:tcPr>
            <w:tcW w:w="2518" w:type="dxa"/>
            <w:vMerge w:val="continue"/>
            <w:noWrap w:val="0"/>
            <w:vAlign w:val="center"/>
          </w:tcPr>
          <w:p>
            <w:pPr>
              <w:spacing w:line="520" w:lineRule="exact"/>
              <w:rPr>
                <w:rFonts w:ascii="黑体" w:hAnsi="黑体" w:eastAsia="黑体"/>
                <w:sz w:val="28"/>
                <w:szCs w:val="28"/>
              </w:rPr>
            </w:pPr>
          </w:p>
        </w:tc>
        <w:tc>
          <w:tcPr>
            <w:tcW w:w="7371" w:type="dxa"/>
            <w:noWrap w:val="0"/>
            <w:vAlign w:val="bottom"/>
          </w:tcPr>
          <w:p>
            <w:pPr>
              <w:widowControl/>
              <w:spacing w:line="520" w:lineRule="exact"/>
              <w:jc w:val="left"/>
              <w:rPr>
                <w:rFonts w:hint="eastAsia" w:ascii="仿宋_GB2312" w:hAnsi="仿宋" w:cs="宋体"/>
                <w:color w:val="000000"/>
                <w:kern w:val="0"/>
                <w:sz w:val="28"/>
                <w:szCs w:val="28"/>
              </w:rPr>
            </w:pPr>
            <w:r>
              <w:rPr>
                <w:rFonts w:hint="eastAsia" w:ascii="仿宋_GB2312" w:hAnsi="仿宋" w:cs="宋体"/>
                <w:color w:val="000000"/>
                <w:kern w:val="0"/>
                <w:sz w:val="28"/>
                <w:szCs w:val="28"/>
              </w:rPr>
              <w:t>3．特别重大、重大公共卫生事件</w:t>
            </w:r>
          </w:p>
        </w:tc>
        <w:tc>
          <w:tcPr>
            <w:tcW w:w="3803" w:type="dxa"/>
            <w:noWrap w:val="0"/>
            <w:vAlign w:val="center"/>
          </w:tcPr>
          <w:p>
            <w:pPr>
              <w:spacing w:line="520" w:lineRule="exact"/>
              <w:rPr>
                <w:rFonts w:hint="eastAsia" w:ascii="仿宋_GB2312" w:hAnsi="仿宋"/>
                <w:sz w:val="28"/>
                <w:szCs w:val="28"/>
              </w:rPr>
            </w:pPr>
            <w:r>
              <w:rPr>
                <w:rFonts w:hint="eastAsia" w:ascii="仿宋_GB2312" w:hAnsi="仿宋"/>
                <w:sz w:val="28"/>
                <w:szCs w:val="28"/>
              </w:rPr>
              <w:t>不发生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jc w:val="center"/>
        </w:trPr>
        <w:tc>
          <w:tcPr>
            <w:tcW w:w="2518" w:type="dxa"/>
            <w:vMerge w:val="restart"/>
            <w:noWrap w:val="0"/>
            <w:vAlign w:val="center"/>
          </w:tcPr>
          <w:p>
            <w:pPr>
              <w:spacing w:line="520" w:lineRule="exact"/>
              <w:jc w:val="center"/>
              <w:rPr>
                <w:rFonts w:ascii="黑体" w:hAnsi="黑体" w:eastAsia="黑体"/>
                <w:sz w:val="28"/>
                <w:szCs w:val="28"/>
              </w:rPr>
            </w:pPr>
            <w:r>
              <w:rPr>
                <w:rFonts w:hint="eastAsia" w:ascii="黑体" w:hAnsi="黑体" w:eastAsia="黑体"/>
                <w:sz w:val="28"/>
                <w:szCs w:val="28"/>
              </w:rPr>
              <w:t>党风政风</w:t>
            </w:r>
          </w:p>
        </w:tc>
        <w:tc>
          <w:tcPr>
            <w:tcW w:w="7371" w:type="dxa"/>
            <w:noWrap w:val="0"/>
            <w:vAlign w:val="center"/>
          </w:tcPr>
          <w:p>
            <w:pPr>
              <w:widowControl/>
              <w:spacing w:line="520" w:lineRule="exact"/>
              <w:jc w:val="left"/>
              <w:rPr>
                <w:rFonts w:hint="eastAsia" w:ascii="仿宋_GB2312" w:hAnsi="仿宋" w:cs="宋体"/>
                <w:color w:val="000000"/>
                <w:kern w:val="0"/>
                <w:sz w:val="28"/>
                <w:szCs w:val="28"/>
              </w:rPr>
            </w:pPr>
            <w:r>
              <w:rPr>
                <w:rFonts w:hint="eastAsia" w:ascii="仿宋_GB2312" w:hAnsi="仿宋" w:cs="宋体"/>
                <w:color w:val="000000"/>
                <w:kern w:val="0"/>
                <w:sz w:val="28"/>
                <w:szCs w:val="28"/>
              </w:rPr>
              <w:t>1．党</w:t>
            </w:r>
            <w:r>
              <w:rPr>
                <w:rFonts w:hint="eastAsia" w:ascii="仿宋_GB2312" w:hAnsi="仿宋" w:cs="宋体"/>
                <w:color w:val="000000"/>
                <w:kern w:val="0"/>
                <w:sz w:val="28"/>
                <w:szCs w:val="28"/>
                <w:lang w:eastAsia="zh-CN"/>
              </w:rPr>
              <w:t>工</w:t>
            </w:r>
            <w:r>
              <w:rPr>
                <w:rFonts w:hint="eastAsia" w:ascii="仿宋_GB2312" w:hAnsi="仿宋" w:cs="宋体"/>
                <w:color w:val="000000"/>
                <w:kern w:val="0"/>
                <w:sz w:val="28"/>
                <w:szCs w:val="28"/>
              </w:rPr>
              <w:t>委</w:t>
            </w:r>
            <w:r>
              <w:rPr>
                <w:rFonts w:hint="eastAsia" w:ascii="仿宋_GB2312" w:hAnsi="仿宋" w:cs="宋体"/>
                <w:color w:val="000000"/>
                <w:kern w:val="0"/>
                <w:sz w:val="28"/>
                <w:szCs w:val="28"/>
                <w:lang w:val="en-US" w:eastAsia="zh-CN"/>
              </w:rPr>
              <w:t>书记、政法委员及政法各单位主要负责人</w:t>
            </w:r>
            <w:r>
              <w:rPr>
                <w:rFonts w:hint="eastAsia" w:ascii="仿宋_GB2312" w:hAnsi="仿宋" w:cs="宋体"/>
                <w:color w:val="000000"/>
                <w:kern w:val="0"/>
                <w:sz w:val="28"/>
                <w:szCs w:val="28"/>
              </w:rPr>
              <w:t xml:space="preserve">严重违纪或违法犯罪 </w:t>
            </w:r>
          </w:p>
        </w:tc>
        <w:tc>
          <w:tcPr>
            <w:tcW w:w="3803" w:type="dxa"/>
            <w:noWrap w:val="0"/>
            <w:vAlign w:val="center"/>
          </w:tcPr>
          <w:p>
            <w:pPr>
              <w:spacing w:line="520" w:lineRule="exact"/>
              <w:rPr>
                <w:rFonts w:hint="eastAsia" w:ascii="仿宋_GB2312" w:hAnsi="仿宋"/>
                <w:sz w:val="28"/>
                <w:szCs w:val="28"/>
              </w:rPr>
            </w:pPr>
            <w:r>
              <w:rPr>
                <w:rFonts w:hint="eastAsia" w:ascii="仿宋_GB2312" w:hAnsi="仿宋"/>
                <w:sz w:val="28"/>
                <w:szCs w:val="28"/>
              </w:rPr>
              <w:t>不发生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 w:hRule="atLeast"/>
          <w:jc w:val="center"/>
        </w:trPr>
        <w:tc>
          <w:tcPr>
            <w:tcW w:w="2518" w:type="dxa"/>
            <w:vMerge w:val="continue"/>
            <w:noWrap w:val="0"/>
            <w:vAlign w:val="center"/>
          </w:tcPr>
          <w:p>
            <w:pPr>
              <w:spacing w:line="520" w:lineRule="exact"/>
              <w:jc w:val="center"/>
              <w:rPr>
                <w:rFonts w:ascii="黑体" w:hAnsi="黑体" w:eastAsia="黑体"/>
                <w:sz w:val="28"/>
                <w:szCs w:val="28"/>
              </w:rPr>
            </w:pPr>
          </w:p>
        </w:tc>
        <w:tc>
          <w:tcPr>
            <w:tcW w:w="7371" w:type="dxa"/>
            <w:noWrap w:val="0"/>
            <w:vAlign w:val="bottom"/>
          </w:tcPr>
          <w:p>
            <w:pPr>
              <w:widowControl/>
              <w:spacing w:line="520" w:lineRule="exact"/>
              <w:jc w:val="left"/>
              <w:rPr>
                <w:rFonts w:hint="eastAsia" w:ascii="仿宋_GB2312" w:hAnsi="仿宋" w:cs="宋体"/>
                <w:color w:val="000000"/>
                <w:kern w:val="0"/>
                <w:sz w:val="28"/>
                <w:szCs w:val="28"/>
              </w:rPr>
            </w:pPr>
            <w:r>
              <w:rPr>
                <w:rFonts w:hint="eastAsia" w:ascii="仿宋_GB2312" w:hAnsi="仿宋" w:cs="宋体"/>
                <w:color w:val="000000"/>
                <w:kern w:val="0"/>
                <w:sz w:val="28"/>
                <w:szCs w:val="28"/>
                <w:lang w:val="en-US" w:eastAsia="zh-CN"/>
              </w:rPr>
              <w:t>2</w:t>
            </w:r>
            <w:r>
              <w:rPr>
                <w:rFonts w:hint="eastAsia" w:ascii="仿宋_GB2312" w:hAnsi="仿宋" w:cs="宋体"/>
                <w:color w:val="000000"/>
                <w:kern w:val="0"/>
                <w:sz w:val="28"/>
                <w:szCs w:val="28"/>
              </w:rPr>
              <w:t xml:space="preserve">．政法系统或某政法单位出现大面积、塌方式腐败案件，严重损害政法队伍形象，造成恶劣社会影响 </w:t>
            </w:r>
          </w:p>
        </w:tc>
        <w:tc>
          <w:tcPr>
            <w:tcW w:w="3803" w:type="dxa"/>
            <w:noWrap w:val="0"/>
            <w:vAlign w:val="center"/>
          </w:tcPr>
          <w:p>
            <w:pPr>
              <w:spacing w:line="520" w:lineRule="exact"/>
              <w:rPr>
                <w:rFonts w:hint="eastAsia" w:ascii="仿宋_GB2312" w:hAnsi="仿宋"/>
                <w:sz w:val="28"/>
                <w:szCs w:val="28"/>
              </w:rPr>
            </w:pPr>
            <w:r>
              <w:rPr>
                <w:rFonts w:hint="eastAsia" w:ascii="仿宋_GB2312" w:hAnsi="仿宋"/>
                <w:sz w:val="28"/>
                <w:szCs w:val="28"/>
              </w:rPr>
              <w:t>不发生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 w:hRule="atLeast"/>
          <w:jc w:val="center"/>
        </w:trPr>
        <w:tc>
          <w:tcPr>
            <w:tcW w:w="2518" w:type="dxa"/>
            <w:noWrap w:val="0"/>
            <w:vAlign w:val="center"/>
          </w:tcPr>
          <w:p>
            <w:pPr>
              <w:spacing w:line="520" w:lineRule="exact"/>
              <w:jc w:val="center"/>
              <w:rPr>
                <w:rFonts w:ascii="黑体" w:hAnsi="黑体" w:eastAsia="黑体"/>
                <w:sz w:val="28"/>
                <w:szCs w:val="28"/>
              </w:rPr>
            </w:pPr>
            <w:r>
              <w:rPr>
                <w:rFonts w:ascii="黑体" w:hAnsi="黑体" w:eastAsia="黑体" w:cs="宋体"/>
                <w:color w:val="000000"/>
                <w:kern w:val="0"/>
                <w:sz w:val="28"/>
                <w:szCs w:val="28"/>
              </w:rPr>
              <w:t>人民群众获得</w:t>
            </w:r>
            <w:r>
              <w:rPr>
                <w:rFonts w:hint="eastAsia" w:ascii="黑体" w:hAnsi="黑体" w:eastAsia="黑体" w:cs="宋体"/>
                <w:color w:val="000000"/>
                <w:kern w:val="0"/>
                <w:sz w:val="28"/>
                <w:szCs w:val="28"/>
              </w:rPr>
              <w:t>感、</w:t>
            </w:r>
            <w:r>
              <w:rPr>
                <w:rFonts w:ascii="黑体" w:hAnsi="黑体" w:eastAsia="黑体" w:cs="宋体"/>
                <w:color w:val="000000"/>
                <w:kern w:val="0"/>
                <w:sz w:val="28"/>
                <w:szCs w:val="28"/>
              </w:rPr>
              <w:t>幸福</w:t>
            </w:r>
            <w:r>
              <w:rPr>
                <w:rFonts w:hint="eastAsia" w:ascii="黑体" w:hAnsi="黑体" w:eastAsia="黑体" w:cs="宋体"/>
                <w:color w:val="000000"/>
                <w:kern w:val="0"/>
                <w:sz w:val="28"/>
                <w:szCs w:val="28"/>
              </w:rPr>
              <w:t>感</w:t>
            </w:r>
            <w:r>
              <w:rPr>
                <w:rFonts w:ascii="黑体" w:hAnsi="黑体" w:eastAsia="黑体" w:cs="宋体"/>
                <w:color w:val="000000"/>
                <w:kern w:val="0"/>
                <w:sz w:val="28"/>
                <w:szCs w:val="28"/>
              </w:rPr>
              <w:t>、安全感</w:t>
            </w:r>
          </w:p>
        </w:tc>
        <w:tc>
          <w:tcPr>
            <w:tcW w:w="7371" w:type="dxa"/>
            <w:noWrap w:val="0"/>
            <w:vAlign w:val="center"/>
          </w:tcPr>
          <w:p>
            <w:pPr>
              <w:spacing w:line="520" w:lineRule="exact"/>
              <w:rPr>
                <w:rFonts w:hint="eastAsia" w:ascii="仿宋_GB2312" w:hAnsi="仿宋" w:cs="宋体"/>
                <w:color w:val="000000"/>
                <w:kern w:val="0"/>
                <w:sz w:val="28"/>
                <w:szCs w:val="28"/>
              </w:rPr>
            </w:pPr>
            <w:r>
              <w:rPr>
                <w:rFonts w:hint="eastAsia" w:ascii="仿宋_GB2312" w:hAnsi="仿宋" w:cs="宋体"/>
                <w:color w:val="000000"/>
                <w:kern w:val="0"/>
                <w:sz w:val="28"/>
                <w:szCs w:val="28"/>
              </w:rPr>
              <w:t>1．群众安全感满意度</w:t>
            </w:r>
          </w:p>
        </w:tc>
        <w:tc>
          <w:tcPr>
            <w:tcW w:w="3803" w:type="dxa"/>
            <w:noWrap w:val="0"/>
            <w:vAlign w:val="center"/>
          </w:tcPr>
          <w:p>
            <w:pPr>
              <w:widowControl/>
              <w:spacing w:line="520" w:lineRule="exact"/>
              <w:jc w:val="left"/>
              <w:rPr>
                <w:rFonts w:hint="eastAsia" w:ascii="仿宋_GB2312" w:hAnsi="仿宋"/>
                <w:sz w:val="28"/>
                <w:szCs w:val="28"/>
              </w:rPr>
            </w:pPr>
            <w:r>
              <w:rPr>
                <w:rFonts w:hint="eastAsia" w:ascii="仿宋_GB2312" w:hAnsi="仿宋" w:cs="宋体"/>
                <w:color w:val="000000"/>
                <w:kern w:val="0"/>
                <w:sz w:val="28"/>
                <w:szCs w:val="28"/>
              </w:rPr>
              <w:t>≥95%</w:t>
            </w:r>
          </w:p>
        </w:tc>
      </w:tr>
    </w:tbl>
    <w:p>
      <w:pPr>
        <w:tabs>
          <w:tab w:val="left" w:pos="7307"/>
        </w:tabs>
        <w:spacing w:line="585" w:lineRule="exact"/>
        <w:rPr>
          <w:rFonts w:ascii="仿宋_GB2312"/>
          <w:sz w:val="34"/>
          <w:szCs w:val="34"/>
        </w:rPr>
        <w:sectPr>
          <w:footerReference r:id="rId3" w:type="default"/>
          <w:pgSz w:w="16840" w:h="11907" w:orient="landscape"/>
          <w:pgMar w:top="1134" w:right="1134" w:bottom="1134" w:left="1134" w:header="851" w:footer="1417" w:gutter="0"/>
          <w:cols w:space="720" w:num="1"/>
          <w:rtlGutter w:val="0"/>
          <w:docGrid w:linePitch="520" w:charSpace="0"/>
        </w:sect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关于成立</w:t>
      </w:r>
      <w:r>
        <w:rPr>
          <w:rFonts w:hint="eastAsia" w:ascii="方正小标宋简体" w:hAnsi="方正小标宋简体" w:eastAsia="方正小标宋简体" w:cs="方正小标宋简体"/>
          <w:sz w:val="44"/>
          <w:szCs w:val="44"/>
          <w:lang w:val="en-US" w:eastAsia="zh-CN"/>
        </w:rPr>
        <w:t>南浦街道</w:t>
      </w:r>
      <w:r>
        <w:rPr>
          <w:rFonts w:hint="eastAsia" w:ascii="方正小标宋简体" w:hAnsi="方正小标宋简体" w:eastAsia="方正小标宋简体" w:cs="方正小标宋简体"/>
          <w:sz w:val="44"/>
          <w:szCs w:val="44"/>
        </w:rPr>
        <w:t>推进市域社会治理现代化</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试点工作领导小组的通知</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w w:val="90"/>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为加快推进市域社会治理现代化试点工作，不断巩固和夯实新形势下平安南浦、法治南浦建设基础，经街道党工委、办事处领导同志同意，成立南浦街道推进市域社会治理现代化试点工作领导小组，其组成人员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组  长：马友学    街道党工委副书记、街办主任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副组长：邓福祥    街道党工委副书记、政法委员</w:t>
      </w:r>
    </w:p>
    <w:p>
      <w:pPr>
        <w:pStyle w:val="2"/>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 xml:space="preserve">            樊  青    街道人大工委主任</w:t>
      </w:r>
    </w:p>
    <w:p>
      <w:pPr>
        <w:pStyle w:val="2"/>
        <w:rPr>
          <w:rFonts w:hint="default"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 xml:space="preserve">            张小泉    筷子巷派出所所长</w:t>
      </w:r>
    </w:p>
    <w:p>
      <w:pPr>
        <w:pStyle w:val="2"/>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 xml:space="preserve">            高  俊    街道党工委委员、街办副主任</w:t>
      </w:r>
    </w:p>
    <w:p>
      <w:pPr>
        <w:pStyle w:val="2"/>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 xml:space="preserve">            黄会明    街道党工委委员、城管所所长</w:t>
      </w:r>
    </w:p>
    <w:p>
      <w:pPr>
        <w:pStyle w:val="2"/>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 xml:space="preserve">            龚钢钢    街道党工委委员、纪工委书记</w:t>
      </w:r>
    </w:p>
    <w:p>
      <w:pPr>
        <w:pStyle w:val="2"/>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 xml:space="preserve">            尚宇濛    街道党工委委员、街办副主任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 xml:space="preserve">        吴毛毛    街道人武部部长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929" w:firstLineChars="603"/>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王  薇    街道综治办专职副主任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929" w:firstLineChars="603"/>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尹  娟    街道信访维稳专职副科级干部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 xml:space="preserve">        吴  倩    街道人社所所长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 xml:space="preserve">        徐  红    街道司法所所长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929" w:firstLineChars="603"/>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涂泉海    街道维稳督查信息员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成  员：万  帅    街道党政办主任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929" w:firstLineChars="603"/>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程国红    街道文明办主任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929" w:firstLineChars="603"/>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吴志刚    街道纪检监察室主任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929" w:firstLineChars="603"/>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熊婷婷    街道民政所负责人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929" w:firstLineChars="603"/>
        <w:textAlignment w:val="auto"/>
        <w:rPr>
          <w:rFonts w:hint="default"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伍鸣岐    街道经济发展办负责人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929" w:firstLineChars="603"/>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淦红强    街道平安办副主任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929" w:firstLineChars="603"/>
        <w:textAlignment w:val="auto"/>
        <w:rPr>
          <w:rFonts w:hint="default"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陶冰心    街道卫健办负责人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929" w:firstLineChars="603"/>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万  琴    街道财政所负责人</w:t>
      </w:r>
    </w:p>
    <w:p>
      <w:pPr>
        <w:pStyle w:val="2"/>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 xml:space="preserve">            陈  科    街道城管办负责人</w:t>
      </w:r>
    </w:p>
    <w:p>
      <w:pPr>
        <w:pStyle w:val="2"/>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 xml:space="preserve">            万  伟    街道城管所副所长</w:t>
      </w:r>
    </w:p>
    <w:p>
      <w:pPr>
        <w:pStyle w:val="2"/>
        <w:ind w:firstLine="1920" w:firstLineChars="600"/>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胡  虹    街道人社所副所长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领导小组下设“一办五组”，即综合协调办公室及党建引领、依法治理、德治教育、基层自治、信息化建设等五个工作组，人员组成及工作职责如下：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（一）综合协调办公室</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办公室设在社会治理办，办公室主任由淦红强同志兼任。主要负责研究确定推进市域社会治理的阶段任务；统筹协调五个工作组工作；组织开展分析研判、调研督导、总结提升等工作。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(二)党建引领工作组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由党政办、党建办牵头，主要负责指导、协调、推进、督促市域社会治理党建引领的各项工作任务。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(三)依法治理工作组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u w:val="none"/>
          <w:lang w:val="en-US" w:eastAsia="zh-CN"/>
        </w:rPr>
        <w:t>由街道司法所牵头，</w:t>
      </w:r>
      <w:r>
        <w:rPr>
          <w:rFonts w:hint="eastAsia" w:ascii="方正仿宋简体" w:hAnsi="方正仿宋简体" w:eastAsia="方正仿宋简体" w:cs="方正仿宋简体"/>
          <w:b w:val="0"/>
          <w:bCs/>
          <w:sz w:val="32"/>
          <w:szCs w:val="32"/>
          <w:lang w:val="en-US" w:eastAsia="zh-CN"/>
        </w:rPr>
        <w:t>主要负责指导、协调、推进、督促市域社会治理依法治理的各项工作任务。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(四)德治教育工作组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由党建办牵头，主要负责指导、协调、推进、督促市域社会治理德治教育的各项工作任务。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(五)基层自治工作组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由公共服务办牵头，主要负责指导、协调、推进、督促市域社会治理基层自治的各项工作任务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(六)信息化建设工作组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 w:hAnsi="仿宋" w:eastAsia="仿宋" w:cs="仿宋"/>
          <w:sz w:val="32"/>
          <w:szCs w:val="32"/>
          <w:lang w:val="en-US" w:eastAsia="zh-CN"/>
        </w:rPr>
      </w:pPr>
      <w:r>
        <w:rPr>
          <w:rFonts w:hint="eastAsia" w:ascii="方正仿宋简体" w:hAnsi="方正仿宋简体" w:eastAsia="方正仿宋简体" w:cs="方正仿宋简体"/>
          <w:b w:val="0"/>
          <w:bCs/>
          <w:sz w:val="32"/>
          <w:szCs w:val="32"/>
          <w:u w:val="none"/>
          <w:lang w:val="en-US" w:eastAsia="zh-CN"/>
        </w:rPr>
        <w:t>由筷子巷派出所牵头</w:t>
      </w:r>
      <w:r>
        <w:rPr>
          <w:rFonts w:hint="eastAsia" w:ascii="方正仿宋简体" w:hAnsi="方正仿宋简体" w:eastAsia="方正仿宋简体" w:cs="方正仿宋简体"/>
          <w:b w:val="0"/>
          <w:bCs/>
          <w:sz w:val="32"/>
          <w:szCs w:val="32"/>
          <w:lang w:val="en-US" w:eastAsia="zh-CN"/>
        </w:rPr>
        <w:t>，主要负责指导、协调、推进、督促市域社会治理信息化建设的各项工作任务。</w:t>
      </w:r>
    </w:p>
    <w:p>
      <w:pPr>
        <w:pStyle w:val="2"/>
        <w:rPr>
          <w:rFonts w:hint="default"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仿宋_GB2312"/>
          <w:b/>
          <w:sz w:val="32"/>
          <w:szCs w:val="32"/>
        </w:rPr>
      </w:pPr>
    </w:p>
    <w:p/>
    <w:sectPr>
      <w:pgSz w:w="11906" w:h="16838"/>
      <w:pgMar w:top="1417" w:right="1417" w:bottom="1417" w:left="141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ind w:firstLine="280" w:firstLineChars="100"/>
      <w:rPr>
        <w:rStyle w:val="6"/>
        <w:rFonts w:hint="eastAsia"/>
        <w:sz w:val="28"/>
        <w:szCs w:val="28"/>
      </w:rPr>
    </w:pPr>
    <w:r>
      <w:rPr>
        <w:rStyle w:val="6"/>
        <w:rFonts w:hint="eastAsia"/>
        <w:sz w:val="28"/>
        <w:szCs w:val="28"/>
      </w:rPr>
      <w:t xml:space="preserve">— </w:t>
    </w:r>
    <w:r>
      <w:rPr>
        <w:sz w:val="28"/>
        <w:szCs w:val="28"/>
      </w:rPr>
      <w:fldChar w:fldCharType="begin"/>
    </w:r>
    <w:r>
      <w:rPr>
        <w:rStyle w:val="6"/>
        <w:sz w:val="28"/>
        <w:szCs w:val="28"/>
      </w:rPr>
      <w:instrText xml:space="preserve">PAGE  </w:instrText>
    </w:r>
    <w:r>
      <w:rPr>
        <w:sz w:val="28"/>
        <w:szCs w:val="28"/>
      </w:rPr>
      <w:fldChar w:fldCharType="separate"/>
    </w:r>
    <w:r>
      <w:rPr>
        <w:rStyle w:val="6"/>
        <w:sz w:val="28"/>
        <w:szCs w:val="28"/>
      </w:rPr>
      <w:t>14</w:t>
    </w:r>
    <w:r>
      <w:rPr>
        <w:sz w:val="28"/>
        <w:szCs w:val="28"/>
      </w:rPr>
      <w:fldChar w:fldCharType="end"/>
    </w:r>
    <w:r>
      <w:rPr>
        <w:rStyle w:val="6"/>
        <w:rFonts w:hint="eastAsia"/>
        <w:sz w:val="28"/>
        <w:szCs w:val="28"/>
      </w:rPr>
      <w:t xml:space="preserve"> —</w:t>
    </w:r>
    <w:r>
      <w:rPr>
        <w:rStyle w:val="6"/>
        <w:rFonts w:hint="eastAsia"/>
        <w:color w:val="FFFFFF"/>
        <w:sz w:val="28"/>
        <w:szCs w:val="28"/>
      </w:rPr>
      <w:t>要</w:t>
    </w:r>
    <w:r>
      <w:rPr>
        <w:rStyle w:val="6"/>
        <w:rFonts w:hint="eastAsia"/>
        <w:sz w:val="28"/>
        <w:szCs w:val="28"/>
      </w:rPr>
      <w:t xml:space="preserve">  </w:t>
    </w:r>
  </w:p>
  <w:p>
    <w:pPr>
      <w:pStyle w:val="3"/>
      <w:ind w:right="81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C0574B"/>
    <w:rsid w:val="06C0574B"/>
    <w:rsid w:val="0B2C1437"/>
    <w:rsid w:val="17A52BD0"/>
    <w:rsid w:val="64F56474"/>
    <w:rsid w:val="6D535020"/>
    <w:rsid w:val="7E7E6A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微软雅黑"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Body Text"/>
    <w:basedOn w:val="1"/>
    <w:qFormat/>
    <w:uiPriority w:val="99"/>
    <w:rPr>
      <w:b/>
    </w:rPr>
  </w:style>
  <w:style w:type="paragraph" w:styleId="3">
    <w:name w:val="footer"/>
    <w:basedOn w:val="1"/>
    <w:uiPriority w:val="0"/>
    <w:pPr>
      <w:tabs>
        <w:tab w:val="center" w:pos="4153"/>
        <w:tab w:val="right" w:pos="8306"/>
      </w:tabs>
      <w:snapToGrid w:val="0"/>
      <w:jc w:val="left"/>
    </w:pPr>
    <w:rPr>
      <w:sz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5</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2018-08-31T01:40:00Z</dcterms:created>
  <dc:creator>强强1388990658</dc:creator>
  <cp:lastModifiedBy>Administrator</cp:lastModifiedBy>
  <cp:lastPrinted>2020-05-07T05:08:00Z</cp:lastPrinted>
  <dcterms:modified xsi:type="dcterms:W3CDTF">2020-05-29T07:10:20Z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